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59" w:rsidRDefault="00E00559" w:rsidP="00E00559">
      <w:pPr>
        <w:spacing w:after="0"/>
        <w:jc w:val="center"/>
        <w:rPr>
          <w:sz w:val="28"/>
          <w:szCs w:val="28"/>
        </w:rPr>
      </w:pPr>
      <w:r w:rsidRPr="002429F7">
        <w:rPr>
          <w:sz w:val="28"/>
          <w:szCs w:val="28"/>
        </w:rPr>
        <w:t xml:space="preserve">    </w:t>
      </w:r>
    </w:p>
    <w:p w:rsidR="00E00559" w:rsidRDefault="00E00559" w:rsidP="00E00559">
      <w:pPr>
        <w:spacing w:after="0"/>
        <w:jc w:val="center"/>
        <w:rPr>
          <w:sz w:val="28"/>
          <w:szCs w:val="28"/>
        </w:rPr>
      </w:pPr>
    </w:p>
    <w:p w:rsidR="00C85A37" w:rsidRPr="00C85A37" w:rsidRDefault="00E00559" w:rsidP="00C85A37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429F7">
        <w:rPr>
          <w:sz w:val="28"/>
          <w:szCs w:val="28"/>
        </w:rPr>
        <w:t xml:space="preserve"> </w:t>
      </w:r>
      <w:r w:rsidR="00C85A37"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СЕЛЬСКОЕ ПОСЕЛЕНИЕ </w:t>
      </w:r>
      <w:r w:rsidR="003F13A8">
        <w:rPr>
          <w:rFonts w:ascii="Times New Roman" w:eastAsia="Times New Roman" w:hAnsi="Times New Roman" w:cs="Times New Roman"/>
          <w:b/>
          <w:bCs/>
          <w:sz w:val="24"/>
          <w:szCs w:val="20"/>
        </w:rPr>
        <w:t>МУЛЫМЬЯ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C85A37" w:rsidRPr="00C85A37" w:rsidRDefault="00C85A37" w:rsidP="00C85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85A37" w:rsidRPr="00C85A37" w:rsidRDefault="00C85A37" w:rsidP="00C8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533EF9">
        <w:rPr>
          <w:rFonts w:ascii="Times New Roman" w:eastAsia="Times New Roman" w:hAnsi="Times New Roman" w:cs="Times New Roman"/>
          <w:sz w:val="24"/>
          <w:szCs w:val="20"/>
        </w:rPr>
        <w:t>03</w:t>
      </w:r>
      <w:r w:rsidR="003F13A8">
        <w:rPr>
          <w:rFonts w:ascii="Times New Roman" w:eastAsia="Times New Roman" w:hAnsi="Times New Roman" w:cs="Times New Roman"/>
          <w:sz w:val="24"/>
          <w:szCs w:val="20"/>
        </w:rPr>
        <w:t xml:space="preserve"> ию</w:t>
      </w:r>
      <w:r w:rsidR="00533EF9">
        <w:rPr>
          <w:rFonts w:ascii="Times New Roman" w:eastAsia="Times New Roman" w:hAnsi="Times New Roman" w:cs="Times New Roman"/>
          <w:sz w:val="24"/>
          <w:szCs w:val="20"/>
        </w:rPr>
        <w:t>л</w:t>
      </w:r>
      <w:r w:rsidR="003F13A8">
        <w:rPr>
          <w:rFonts w:ascii="Times New Roman" w:eastAsia="Times New Roman" w:hAnsi="Times New Roman" w:cs="Times New Roman"/>
          <w:sz w:val="24"/>
          <w:szCs w:val="20"/>
        </w:rPr>
        <w:t>я 2019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533EF9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85A37" w:rsidRPr="00C85A37" w:rsidRDefault="003F13A8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антырья</w:t>
      </w:r>
      <w:proofErr w:type="spellEnd"/>
    </w:p>
    <w:p w:rsidR="00E00559" w:rsidRDefault="00E00559" w:rsidP="00C85A37">
      <w:pPr>
        <w:spacing w:after="0" w:line="240" w:lineRule="auto"/>
        <w:jc w:val="center"/>
        <w:rPr>
          <w:szCs w:val="20"/>
        </w:rPr>
      </w:pPr>
    </w:p>
    <w:p w:rsidR="002349F3" w:rsidRPr="00E00559" w:rsidRDefault="002349F3" w:rsidP="00C85A37">
      <w:pPr>
        <w:spacing w:after="0" w:line="240" w:lineRule="auto"/>
        <w:jc w:val="center"/>
        <w:rPr>
          <w:szCs w:val="20"/>
        </w:rPr>
      </w:pPr>
    </w:p>
    <w:p w:rsidR="00E00559" w:rsidRDefault="00E00559" w:rsidP="007E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559">
        <w:rPr>
          <w:rFonts w:ascii="Times New Roman" w:hAnsi="Times New Roman" w:cs="Times New Roman"/>
          <w:b/>
          <w:bCs/>
          <w:sz w:val="28"/>
          <w:szCs w:val="28"/>
        </w:rPr>
        <w:t xml:space="preserve">О периодичности представления филиалом Сбербанка России сведений о поступлении и расходовании средств, находящихся на специальных избирательных  счетах </w:t>
      </w:r>
      <w:proofErr w:type="gramStart"/>
      <w:r w:rsidRPr="00E00559">
        <w:rPr>
          <w:rFonts w:ascii="Times New Roman" w:hAnsi="Times New Roman" w:cs="Times New Roman"/>
          <w:b/>
          <w:bCs/>
          <w:sz w:val="28"/>
          <w:szCs w:val="28"/>
        </w:rPr>
        <w:t>кандидатов</w:t>
      </w:r>
      <w:proofErr w:type="gramEnd"/>
      <w:r w:rsidRPr="00E00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3A8">
        <w:rPr>
          <w:rFonts w:ascii="Times New Roman" w:hAnsi="Times New Roman" w:cs="Times New Roman"/>
          <w:b/>
          <w:bCs/>
          <w:sz w:val="28"/>
          <w:szCs w:val="28"/>
        </w:rPr>
        <w:t xml:space="preserve">на дополнительных выборах </w:t>
      </w:r>
      <w:r w:rsidR="00085AA0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3F13A8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912E64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3F13A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912E6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3F13A8">
        <w:rPr>
          <w:rFonts w:ascii="Times New Roman" w:hAnsi="Times New Roman" w:cs="Times New Roman"/>
          <w:b/>
          <w:bCs/>
          <w:sz w:val="28"/>
          <w:szCs w:val="28"/>
        </w:rPr>
        <w:t>Мулымья четвертого созыва по одномандатному избирательному округу № 6</w:t>
      </w:r>
    </w:p>
    <w:p w:rsidR="00E00559" w:rsidRPr="00E00559" w:rsidRDefault="00E00559" w:rsidP="007E2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1CE" w:rsidRDefault="00E00559" w:rsidP="007E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0559">
        <w:rPr>
          <w:rFonts w:ascii="Times New Roman" w:hAnsi="Times New Roman" w:cs="Times New Roman"/>
          <w:sz w:val="28"/>
          <w:szCs w:val="28"/>
        </w:rPr>
        <w:t xml:space="preserve">   В соответствии с пунктом 7 статьи 59 Федерального закона от 12 июля 2002  года № 67-ФЗ «Об основных гарантиях избирательных прав и права </w:t>
      </w:r>
      <w:proofErr w:type="gramStart"/>
      <w:r w:rsidRPr="00E005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559">
        <w:rPr>
          <w:rFonts w:ascii="Times New Roman" w:hAnsi="Times New Roman" w:cs="Times New Roman"/>
          <w:sz w:val="28"/>
          <w:szCs w:val="28"/>
        </w:rPr>
        <w:t>участие в референдуме граждан Российской Федерации», статьей 2</w:t>
      </w:r>
      <w:r w:rsidRPr="00E0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59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 – Югре</w:t>
      </w:r>
      <w:r w:rsidRPr="00E00559">
        <w:rPr>
          <w:rFonts w:ascii="Times New Roman" w:hAnsi="Times New Roman" w:cs="Times New Roman"/>
          <w:sz w:val="28"/>
          <w:szCs w:val="28"/>
        </w:rPr>
        <w:t>, утвержденного постановлени</w:t>
      </w:r>
      <w:r w:rsidR="007E2FB2">
        <w:rPr>
          <w:rFonts w:ascii="Times New Roman" w:hAnsi="Times New Roman" w:cs="Times New Roman"/>
          <w:sz w:val="28"/>
          <w:szCs w:val="28"/>
        </w:rPr>
        <w:t>ем Избирательной комиссии Ханты-</w:t>
      </w:r>
      <w:r w:rsidRPr="00E00559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7E2FB2">
        <w:rPr>
          <w:rFonts w:ascii="Times New Roman" w:hAnsi="Times New Roman" w:cs="Times New Roman"/>
          <w:sz w:val="28"/>
          <w:szCs w:val="28"/>
        </w:rPr>
        <w:t xml:space="preserve"> – </w:t>
      </w:r>
      <w:r w:rsidRPr="00E00559">
        <w:rPr>
          <w:rFonts w:ascii="Times New Roman" w:hAnsi="Times New Roman" w:cs="Times New Roman"/>
          <w:sz w:val="28"/>
          <w:szCs w:val="28"/>
        </w:rPr>
        <w:t xml:space="preserve">Югры от 14 июня 2016 года № 1050, 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>на основании постановления избирательной комиссии муниципального</w:t>
      </w:r>
      <w:proofErr w:type="gramEnd"/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сельское поселение </w:t>
      </w:r>
      <w:r w:rsidR="003F13A8">
        <w:rPr>
          <w:rFonts w:ascii="Times New Roman" w:eastAsia="Times New Roman" w:hAnsi="Times New Roman" w:cs="Times New Roman"/>
          <w:sz w:val="28"/>
          <w:szCs w:val="24"/>
        </w:rPr>
        <w:t>Мулымья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от</w:t>
      </w:r>
      <w:r w:rsidR="003F13A8">
        <w:rPr>
          <w:rFonts w:ascii="Times New Roman" w:eastAsia="Times New Roman" w:hAnsi="Times New Roman" w:cs="Times New Roman"/>
          <w:sz w:val="28"/>
          <w:szCs w:val="24"/>
        </w:rPr>
        <w:t xml:space="preserve"> 26 июня 2019г.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3F13A8">
        <w:rPr>
          <w:rFonts w:ascii="Times New Roman" w:eastAsia="Times New Roman" w:hAnsi="Times New Roman" w:cs="Times New Roman"/>
          <w:sz w:val="28"/>
          <w:szCs w:val="24"/>
        </w:rPr>
        <w:t>5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О возложении на избирательную комиссию муниципального образования сельское поселение 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>Мулымья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 полномочий окружных избирательных комиссий при проведении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 xml:space="preserve"> дополнительных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>выборов депутат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>а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 Совета депутатов муниципального образования</w:t>
      </w:r>
      <w:proofErr w:type="gramEnd"/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сельское поселение 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>Мулымья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>четвертого созыва по одномандатному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 избирательн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>ому округу</w:t>
      </w:r>
      <w:r w:rsidR="004541CE" w:rsidRPr="004541CE">
        <w:rPr>
          <w:rFonts w:ascii="Times New Roman" w:eastAsia="Times New Roman" w:hAnsi="Times New Roman" w:cs="Times New Roman"/>
          <w:bCs/>
          <w:sz w:val="28"/>
          <w:szCs w:val="24"/>
        </w:rPr>
        <w:t xml:space="preserve">  №</w:t>
      </w:r>
      <w:r w:rsidR="003F13A8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, избирательная комиссия муниципального образования сельское поселение </w:t>
      </w:r>
      <w:r w:rsidR="003F13A8">
        <w:rPr>
          <w:rFonts w:ascii="Times New Roman" w:eastAsia="Times New Roman" w:hAnsi="Times New Roman" w:cs="Times New Roman"/>
          <w:sz w:val="28"/>
          <w:szCs w:val="24"/>
        </w:rPr>
        <w:t xml:space="preserve">Мулымья 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41CE" w:rsidRPr="004541CE">
        <w:rPr>
          <w:rFonts w:ascii="Times New Roman" w:eastAsia="Times New Roman" w:hAnsi="Times New Roman" w:cs="Times New Roman"/>
          <w:spacing w:val="60"/>
          <w:sz w:val="28"/>
          <w:szCs w:val="24"/>
        </w:rPr>
        <w:t>постановляет</w:t>
      </w:r>
      <w:r w:rsidR="004541CE" w:rsidRPr="004541C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33EF9" w:rsidRPr="004541CE" w:rsidRDefault="00533EF9" w:rsidP="007E0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0559" w:rsidRPr="0042674D" w:rsidRDefault="007E2FB2" w:rsidP="007E0AE6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00559" w:rsidRPr="00E00559">
        <w:rPr>
          <w:rFonts w:ascii="Times New Roman" w:hAnsi="Times New Roman" w:cs="Times New Roman"/>
          <w:sz w:val="28"/>
          <w:szCs w:val="28"/>
        </w:rPr>
        <w:t>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сельское</w:t>
      </w:r>
      <w:r w:rsidR="007938B7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3F13A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в машиночитаемом </w:t>
      </w:r>
      <w:r w:rsidR="00E00559" w:rsidRPr="0042674D">
        <w:rPr>
          <w:rFonts w:ascii="Times New Roman" w:hAnsi="Times New Roman" w:cs="Times New Roman"/>
          <w:sz w:val="28"/>
          <w:szCs w:val="28"/>
        </w:rPr>
        <w:t xml:space="preserve">виде (адрес электронной почты: </w:t>
      </w:r>
      <w:r w:rsidR="0042674D" w:rsidRPr="004267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2674D" w:rsidRPr="0042674D">
        <w:rPr>
          <w:rFonts w:ascii="Times New Roman" w:hAnsi="Times New Roman" w:cs="Times New Roman"/>
          <w:sz w:val="28"/>
          <w:szCs w:val="28"/>
        </w:rPr>
        <w:t>-</w:t>
      </w:r>
      <w:r w:rsidR="0042674D" w:rsidRPr="004267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2674D" w:rsidRPr="0042674D">
        <w:rPr>
          <w:rFonts w:ascii="Times New Roman" w:hAnsi="Times New Roman" w:cs="Times New Roman"/>
          <w:sz w:val="28"/>
          <w:szCs w:val="28"/>
        </w:rPr>
        <w:t>:</w:t>
      </w:r>
      <w:r w:rsidR="00351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74D" w:rsidRPr="0042674D">
        <w:rPr>
          <w:rFonts w:ascii="Times New Roman" w:hAnsi="Times New Roman" w:cs="Times New Roman"/>
          <w:sz w:val="28"/>
          <w:szCs w:val="28"/>
          <w:u w:val="single"/>
          <w:lang w:val="en-US"/>
        </w:rPr>
        <w:t>ikmospmulymya</w:t>
      </w:r>
      <w:proofErr w:type="spellEnd"/>
      <w:r w:rsidR="0042674D" w:rsidRPr="0042674D">
        <w:rPr>
          <w:rFonts w:ascii="Times New Roman" w:hAnsi="Times New Roman" w:cs="Times New Roman"/>
          <w:sz w:val="28"/>
          <w:szCs w:val="28"/>
          <w:u w:val="single"/>
        </w:rPr>
        <w:t>05@</w:t>
      </w:r>
      <w:r w:rsidR="0042674D" w:rsidRPr="0042674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2674D" w:rsidRPr="0042674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674D" w:rsidRPr="0042674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00559" w:rsidRPr="0042674D">
        <w:rPr>
          <w:rFonts w:ascii="Times New Roman" w:hAnsi="Times New Roman" w:cs="Times New Roman"/>
          <w:sz w:val="28"/>
          <w:szCs w:val="28"/>
        </w:rPr>
        <w:t xml:space="preserve">) </w:t>
      </w:r>
      <w:r w:rsidR="0042674D" w:rsidRPr="0042674D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42674D">
        <w:rPr>
          <w:rFonts w:ascii="Times New Roman" w:hAnsi="Times New Roman" w:cs="Times New Roman"/>
          <w:sz w:val="28"/>
          <w:szCs w:val="28"/>
        </w:rPr>
        <w:t>или на бумажном носителе ПАО «Сбербанк России» № 1791/08</w:t>
      </w:r>
      <w:r w:rsidR="007938B7" w:rsidRPr="0042674D">
        <w:rPr>
          <w:rFonts w:ascii="Times New Roman" w:hAnsi="Times New Roman" w:cs="Times New Roman"/>
          <w:sz w:val="28"/>
          <w:szCs w:val="28"/>
        </w:rPr>
        <w:t>8</w:t>
      </w:r>
      <w:r w:rsidR="00E00559" w:rsidRPr="0042674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00559" w:rsidRDefault="007E2FB2" w:rsidP="007E0A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 </w:t>
      </w:r>
      <w:proofErr w:type="gramStart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Сведения о поступлении и расходовании  средств, находящихся на специальных избирательных счетах кандидатов на должность </w:t>
      </w:r>
      <w:r w:rsidR="003F13A8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E00559" w:rsidRPr="00E00559">
        <w:rPr>
          <w:rFonts w:ascii="Times New Roman" w:hAnsi="Times New Roman" w:cs="Times New Roman"/>
          <w:sz w:val="28"/>
          <w:szCs w:val="28"/>
        </w:rPr>
        <w:t>муниципального образования сельское</w:t>
      </w:r>
      <w:r w:rsidR="00CF17B3"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>поселение</w:t>
      </w:r>
      <w:r w:rsidR="003F13A8">
        <w:rPr>
          <w:rFonts w:ascii="Times New Roman" w:hAnsi="Times New Roman" w:cs="Times New Roman"/>
          <w:sz w:val="28"/>
          <w:szCs w:val="28"/>
        </w:rPr>
        <w:t xml:space="preserve"> Мулымья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предоставляются ПАО «Сбербанк России»  </w:t>
      </w:r>
      <w:r w:rsidR="00E00559" w:rsidRPr="00E00559">
        <w:rPr>
          <w:rFonts w:ascii="Times New Roman" w:hAnsi="Times New Roman" w:cs="Times New Roman"/>
          <w:b/>
          <w:sz w:val="28"/>
          <w:szCs w:val="28"/>
          <w:u w:val="single"/>
        </w:rPr>
        <w:t>еженедельно, каждый вторник,</w:t>
      </w:r>
      <w:r w:rsidR="00E00559" w:rsidRPr="00E00559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по формам приложений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59" w:rsidRPr="00E00559">
        <w:rPr>
          <w:rFonts w:ascii="Times New Roman" w:hAnsi="Times New Roman" w:cs="Times New Roman"/>
          <w:sz w:val="28"/>
          <w:szCs w:val="28"/>
        </w:rPr>
        <w:t xml:space="preserve">3  </w:t>
      </w:r>
      <w:r w:rsidR="00E00559" w:rsidRPr="00E00559">
        <w:rPr>
          <w:rFonts w:ascii="Times New Roman" w:hAnsi="Times New Roman" w:cs="Times New Roman"/>
          <w:bCs/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 проведении выборов глав муниципальных образований и депутатов представительных органов муниципальных образований</w:t>
      </w:r>
      <w:proofErr w:type="gramEnd"/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559" w:rsidRPr="00E0055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559" w:rsidRPr="00E00559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E00559" w:rsidRPr="00E00559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 – Югре</w:t>
      </w:r>
      <w:r w:rsidR="00E00559" w:rsidRPr="00E0055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E0AE6" w:rsidRPr="00E00559" w:rsidRDefault="007E0AE6" w:rsidP="007E0A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C4F79" w:rsidRPr="006C4F79" w:rsidRDefault="007E2FB2" w:rsidP="007E0A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79">
        <w:rPr>
          <w:rFonts w:ascii="Times New Roman" w:hAnsi="Times New Roman" w:cs="Times New Roman"/>
          <w:sz w:val="28"/>
          <w:szCs w:val="28"/>
        </w:rPr>
        <w:t xml:space="preserve">            3. </w:t>
      </w:r>
      <w:r w:rsidRPr="006C4F79">
        <w:rPr>
          <w:rFonts w:ascii="Times New Roman" w:hAnsi="Times New Roman" w:cs="Times New Roman"/>
          <w:caps/>
          <w:sz w:val="28"/>
          <w:szCs w:val="28"/>
        </w:rPr>
        <w:t>н</w:t>
      </w:r>
      <w:r w:rsidRPr="006C4F79">
        <w:rPr>
          <w:rFonts w:ascii="Times New Roman" w:hAnsi="Times New Roman" w:cs="Times New Roman"/>
          <w:sz w:val="28"/>
          <w:szCs w:val="28"/>
        </w:rPr>
        <w:t>а</w:t>
      </w:r>
      <w:r w:rsidR="00D172EB" w:rsidRPr="006C4F79">
        <w:rPr>
          <w:rFonts w:ascii="Times New Roman" w:hAnsi="Times New Roman" w:cs="Times New Roman"/>
          <w:sz w:val="28"/>
          <w:szCs w:val="28"/>
        </w:rPr>
        <w:t>править настоящее</w:t>
      </w:r>
      <w:r w:rsidRPr="006C4F79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>дополнительный офис № 1791/088</w:t>
      </w:r>
      <w:r w:rsidR="006C4F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>Западно-Сибирско</w:t>
      </w:r>
      <w:r w:rsidR="006C4F79">
        <w:rPr>
          <w:rFonts w:ascii="Times New Roman" w:eastAsia="Times New Roman" w:hAnsi="Times New Roman" w:cs="Times New Roman"/>
          <w:sz w:val="28"/>
          <w:szCs w:val="24"/>
        </w:rPr>
        <w:t>го</w:t>
      </w:r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4F7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 xml:space="preserve">отделения № 8647 ПАО Сбербанк </w:t>
      </w:r>
      <w:proofErr w:type="spellStart"/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>.Т</w:t>
      </w:r>
      <w:proofErr w:type="gramEnd"/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>юмень</w:t>
      </w:r>
      <w:proofErr w:type="spellEnd"/>
      <w:r w:rsidR="006C4F79" w:rsidRPr="006C4F79">
        <w:rPr>
          <w:rFonts w:ascii="Times New Roman" w:eastAsia="Times New Roman" w:hAnsi="Times New Roman" w:cs="Times New Roman"/>
          <w:sz w:val="28"/>
          <w:szCs w:val="24"/>
        </w:rPr>
        <w:t>, расположенный по адресу: 628200  Ханты-Мансийский автономный округ – Югра,</w:t>
      </w:r>
      <w:r w:rsidR="006C4F79" w:rsidRPr="006C4F79">
        <w:rPr>
          <w:rFonts w:ascii="Times New Roman" w:eastAsia="Times New Roman" w:hAnsi="Times New Roman" w:cs="Times New Roman"/>
          <w:snapToGrid w:val="0"/>
          <w:sz w:val="26"/>
          <w:szCs w:val="20"/>
        </w:rPr>
        <w:t xml:space="preserve"> </w:t>
      </w:r>
      <w:proofErr w:type="spellStart"/>
      <w:r w:rsidR="006C4F79" w:rsidRPr="006C4F79">
        <w:rPr>
          <w:rFonts w:ascii="Times New Roman" w:eastAsia="Times New Roman" w:hAnsi="Times New Roman" w:cs="Times New Roman"/>
          <w:snapToGrid w:val="0"/>
          <w:sz w:val="28"/>
          <w:szCs w:val="28"/>
        </w:rPr>
        <w:t>Кондинский</w:t>
      </w:r>
      <w:proofErr w:type="spellEnd"/>
      <w:r w:rsidR="006C4F79" w:rsidRPr="006C4F7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район, </w:t>
      </w:r>
      <w:proofErr w:type="spellStart"/>
      <w:r w:rsidR="006C4F79" w:rsidRPr="006C4F79">
        <w:rPr>
          <w:rFonts w:ascii="Times New Roman" w:eastAsia="Times New Roman" w:hAnsi="Times New Roman" w:cs="Times New Roman"/>
          <w:snapToGrid w:val="0"/>
          <w:sz w:val="28"/>
          <w:szCs w:val="28"/>
        </w:rPr>
        <w:t>п.г.т.Междуреченский</w:t>
      </w:r>
      <w:proofErr w:type="spellEnd"/>
      <w:r w:rsidR="006C4F79" w:rsidRPr="006C4F7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6C4F79" w:rsidRPr="006C4F79">
        <w:rPr>
          <w:rFonts w:ascii="Times New Roman" w:eastAsia="Times New Roman" w:hAnsi="Times New Roman" w:cs="Times New Roman"/>
          <w:snapToGrid w:val="0"/>
          <w:sz w:val="28"/>
          <w:szCs w:val="28"/>
        </w:rPr>
        <w:t>ул.Волгоградская</w:t>
      </w:r>
      <w:proofErr w:type="spellEnd"/>
      <w:r w:rsidR="006C4F79" w:rsidRPr="006C4F79">
        <w:rPr>
          <w:rFonts w:ascii="Times New Roman" w:eastAsia="Times New Roman" w:hAnsi="Times New Roman" w:cs="Times New Roman"/>
          <w:snapToGrid w:val="0"/>
          <w:sz w:val="28"/>
          <w:szCs w:val="28"/>
        </w:rPr>
        <w:t>, дом 12</w:t>
      </w:r>
      <w:r w:rsidR="006C4F79" w:rsidRPr="006C4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559" w:rsidRDefault="007E2FB2" w:rsidP="007E0AE6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D172EB" w:rsidRPr="007E2FB2">
        <w:rPr>
          <w:caps/>
          <w:sz w:val="28"/>
          <w:szCs w:val="28"/>
        </w:rPr>
        <w:t>н</w:t>
      </w:r>
      <w:r w:rsidR="00D172EB" w:rsidRPr="00E00559">
        <w:rPr>
          <w:sz w:val="28"/>
          <w:szCs w:val="28"/>
        </w:rPr>
        <w:t>астоящее поста</w:t>
      </w:r>
      <w:r w:rsidR="00D172EB">
        <w:rPr>
          <w:sz w:val="28"/>
          <w:szCs w:val="28"/>
        </w:rPr>
        <w:t>новление р</w:t>
      </w:r>
      <w:r w:rsidR="00E00559" w:rsidRPr="00E0055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официальном сайте  </w:t>
      </w:r>
      <w:r w:rsidR="00E00559" w:rsidRPr="00E00559">
        <w:rPr>
          <w:sz w:val="28"/>
          <w:szCs w:val="28"/>
        </w:rPr>
        <w:t>органов местного самоуправления муниципального образован</w:t>
      </w:r>
      <w:r>
        <w:rPr>
          <w:sz w:val="28"/>
          <w:szCs w:val="28"/>
        </w:rPr>
        <w:t>ия Кондинский район в разделе «</w:t>
      </w:r>
      <w:r w:rsidR="003F13A8">
        <w:rPr>
          <w:sz w:val="28"/>
          <w:szCs w:val="28"/>
        </w:rPr>
        <w:t>Выборы 08.09.2019г.</w:t>
      </w:r>
      <w:r w:rsidR="00CF17B3">
        <w:rPr>
          <w:sz w:val="28"/>
          <w:szCs w:val="28"/>
        </w:rPr>
        <w:t>»</w:t>
      </w:r>
      <w:r w:rsidR="00E00559" w:rsidRPr="00E00559">
        <w:rPr>
          <w:sz w:val="28"/>
          <w:szCs w:val="28"/>
        </w:rPr>
        <w:t xml:space="preserve"> </w:t>
      </w:r>
    </w:p>
    <w:p w:rsidR="007E0AE6" w:rsidRPr="00E00559" w:rsidRDefault="007E0AE6" w:rsidP="007E0AE6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00559" w:rsidRPr="00E00559" w:rsidRDefault="007E2FB2" w:rsidP="007E0AE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</w:t>
      </w:r>
      <w:proofErr w:type="gramStart"/>
      <w:r w:rsidR="00E00559" w:rsidRPr="00E005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0559" w:rsidRPr="00E005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A47BA1">
        <w:rPr>
          <w:rFonts w:ascii="Times New Roman" w:hAnsi="Times New Roman" w:cs="Times New Roman"/>
          <w:sz w:val="28"/>
          <w:szCs w:val="28"/>
        </w:rPr>
        <w:t>Людмилу Ивановну</w:t>
      </w:r>
      <w:r w:rsidR="00A47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3A8">
        <w:rPr>
          <w:rFonts w:ascii="Times New Roman" w:hAnsi="Times New Roman" w:cs="Times New Roman"/>
          <w:sz w:val="28"/>
          <w:szCs w:val="28"/>
        </w:rPr>
        <w:t>Верьян</w:t>
      </w:r>
      <w:proofErr w:type="spellEnd"/>
      <w:r w:rsidR="003F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59" w:rsidRPr="00E00559" w:rsidRDefault="00E00559" w:rsidP="007E2FB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FB2" w:rsidRDefault="007E2FB2" w:rsidP="007E2FB2">
      <w:pPr>
        <w:pStyle w:val="a5"/>
        <w:rPr>
          <w:sz w:val="28"/>
          <w:szCs w:val="28"/>
        </w:rPr>
      </w:pPr>
      <w:bookmarkStart w:id="0" w:name="_GoBack"/>
      <w:bookmarkEnd w:id="0"/>
    </w:p>
    <w:p w:rsidR="007E2FB2" w:rsidRDefault="007E2FB2" w:rsidP="007E2FB2">
      <w:pPr>
        <w:pStyle w:val="a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15"/>
        <w:gridCol w:w="3203"/>
      </w:tblGrid>
      <w:tr w:rsidR="00571599" w:rsidRPr="00571599" w:rsidTr="00A52D7B">
        <w:tc>
          <w:tcPr>
            <w:tcW w:w="5353" w:type="dxa"/>
            <w:shd w:val="clear" w:color="auto" w:fill="auto"/>
          </w:tcPr>
          <w:p w:rsidR="00571599" w:rsidRPr="00571599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</w:p>
          <w:p w:rsidR="00571599" w:rsidRPr="00571599" w:rsidRDefault="00571599" w:rsidP="003F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избирательной комиссии муниципального образования сельское поселение </w:t>
            </w:r>
            <w:r w:rsidR="003F13A8">
              <w:rPr>
                <w:rFonts w:ascii="Times New Roman" w:eastAsia="Times New Roman" w:hAnsi="Times New Roman" w:cs="Times New Roman"/>
                <w:sz w:val="28"/>
                <w:szCs w:val="20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71599" w:rsidRPr="00571599" w:rsidRDefault="003F13A8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Л.И.Верьян</w:t>
            </w:r>
            <w:proofErr w:type="spellEnd"/>
          </w:p>
        </w:tc>
      </w:tr>
      <w:tr w:rsidR="00571599" w:rsidRPr="00571599" w:rsidTr="00A52D7B">
        <w:tc>
          <w:tcPr>
            <w:tcW w:w="535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71599" w:rsidRPr="00571599" w:rsidTr="00A52D7B">
        <w:tc>
          <w:tcPr>
            <w:tcW w:w="5353" w:type="dxa"/>
            <w:shd w:val="clear" w:color="auto" w:fill="auto"/>
          </w:tcPr>
          <w:p w:rsidR="00571599" w:rsidRPr="00571599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Секретарь </w:t>
            </w:r>
          </w:p>
          <w:p w:rsidR="00571599" w:rsidRPr="00571599" w:rsidRDefault="00571599" w:rsidP="003F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715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3F13A8">
              <w:rPr>
                <w:rFonts w:ascii="Times New Roman" w:eastAsia="Times New Roman" w:hAnsi="Times New Roman" w:cs="Times New Roman"/>
                <w:sz w:val="28"/>
                <w:szCs w:val="24"/>
              </w:rPr>
              <w:t>Мулымья</w:t>
            </w:r>
          </w:p>
        </w:tc>
        <w:tc>
          <w:tcPr>
            <w:tcW w:w="1015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1599" w:rsidRPr="00571599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71599" w:rsidRPr="00571599" w:rsidRDefault="003F13A8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А.В.Белкина</w:t>
            </w:r>
          </w:p>
        </w:tc>
      </w:tr>
    </w:tbl>
    <w:p w:rsidR="00E00559" w:rsidRPr="00E00559" w:rsidRDefault="00E00559" w:rsidP="007E2FB2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EF9" w:rsidRDefault="00533EF9" w:rsidP="007E2FB2">
      <w:pPr>
        <w:spacing w:line="240" w:lineRule="auto"/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Pr="00533EF9" w:rsidRDefault="00533EF9" w:rsidP="00533EF9">
      <w:pPr>
        <w:rPr>
          <w:rFonts w:ascii="Times New Roman" w:hAnsi="Times New Roman" w:cs="Times New Roman"/>
        </w:rPr>
      </w:pPr>
    </w:p>
    <w:p w:rsidR="00533EF9" w:rsidRDefault="00533EF9" w:rsidP="00533EF9">
      <w:pPr>
        <w:rPr>
          <w:rFonts w:ascii="Times New Roman" w:hAnsi="Times New Roman" w:cs="Times New Roman"/>
        </w:rPr>
      </w:pPr>
    </w:p>
    <w:p w:rsidR="00533EF9" w:rsidRDefault="00533EF9" w:rsidP="00533EF9">
      <w:pPr>
        <w:rPr>
          <w:rFonts w:ascii="Times New Roman" w:hAnsi="Times New Roman" w:cs="Times New Roman"/>
        </w:rPr>
      </w:pPr>
    </w:p>
    <w:p w:rsidR="00FA02F9" w:rsidRDefault="00FA02F9" w:rsidP="00533EF9">
      <w:pPr>
        <w:jc w:val="center"/>
        <w:rPr>
          <w:rFonts w:ascii="Times New Roman" w:hAnsi="Times New Roman" w:cs="Times New Roman"/>
        </w:rPr>
      </w:pPr>
    </w:p>
    <w:p w:rsidR="00533EF9" w:rsidRDefault="00533EF9" w:rsidP="00533EF9">
      <w:pPr>
        <w:jc w:val="center"/>
        <w:rPr>
          <w:rFonts w:ascii="Times New Roman" w:hAnsi="Times New Roman" w:cs="Times New Roman"/>
        </w:rPr>
      </w:pPr>
    </w:p>
    <w:p w:rsidR="00533EF9" w:rsidRDefault="00533EF9" w:rsidP="00533EF9">
      <w:pPr>
        <w:pStyle w:val="a3"/>
        <w:sectPr w:rsidR="00533EF9" w:rsidSect="004541CE">
          <w:pgSz w:w="11906" w:h="16838"/>
          <w:pgMar w:top="709" w:right="707" w:bottom="993" w:left="1418" w:header="708" w:footer="708" w:gutter="0"/>
          <w:cols w:space="708"/>
          <w:docGrid w:linePitch="360"/>
        </w:sectPr>
      </w:pPr>
    </w:p>
    <w:p w:rsidR="00533EF9" w:rsidRDefault="00533EF9" w:rsidP="00533EF9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DD0CCC">
        <w:rPr>
          <w:rFonts w:ascii="Times New Roman" w:hAnsi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/>
          <w:sz w:val="24"/>
          <w:szCs w:val="24"/>
        </w:rPr>
        <w:t>УПРАВЛЕНИЯ СО</w:t>
      </w:r>
      <w:r w:rsidRPr="00DD0CCC">
        <w:rPr>
          <w:rFonts w:ascii="Times New Roman" w:hAnsi="Times New Roman"/>
          <w:sz w:val="24"/>
          <w:szCs w:val="24"/>
        </w:rPr>
        <w:t xml:space="preserve">ПРОВОЖДЕНИЯ ПЛАТЕЖЕЙ </w:t>
      </w:r>
    </w:p>
    <w:p w:rsidR="00533EF9" w:rsidRPr="00533EF9" w:rsidRDefault="00533EF9" w:rsidP="00533EF9">
      <w:pPr>
        <w:spacing w:after="0" w:line="0" w:lineRule="atLeast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DD0CCC">
        <w:rPr>
          <w:rFonts w:ascii="Times New Roman" w:hAnsi="Times New Roman"/>
          <w:sz w:val="24"/>
          <w:szCs w:val="24"/>
        </w:rPr>
        <w:t xml:space="preserve">ЮРИДИЧЕСКИХ ЛИЦ </w:t>
      </w:r>
      <w:r w:rsidRPr="00533EF9">
        <w:rPr>
          <w:rFonts w:ascii="Times New Roman" w:hAnsi="Times New Roman"/>
          <w:color w:val="FF0000"/>
          <w:sz w:val="24"/>
          <w:szCs w:val="24"/>
        </w:rPr>
        <w:t xml:space="preserve">ОСОПП </w:t>
      </w:r>
    </w:p>
    <w:p w:rsidR="00533EF9" w:rsidRPr="00DD0CCC" w:rsidRDefault="00533EF9" w:rsidP="00533EF9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33EF9">
        <w:rPr>
          <w:rFonts w:ascii="Times New Roman" w:hAnsi="Times New Roman"/>
          <w:color w:val="FF0000"/>
          <w:sz w:val="24"/>
          <w:szCs w:val="24"/>
        </w:rPr>
        <w:t>РЦ ОЦ Г.ХАНТЫ-МАНСИЙСК</w:t>
      </w:r>
      <w:r w:rsidRPr="00DD0CCC">
        <w:rPr>
          <w:rFonts w:ascii="Times New Roman" w:hAnsi="Times New Roman"/>
          <w:sz w:val="24"/>
          <w:szCs w:val="24"/>
        </w:rPr>
        <w:t xml:space="preserve"> </w:t>
      </w:r>
    </w:p>
    <w:p w:rsidR="00533EF9" w:rsidRDefault="00533EF9" w:rsidP="00533EF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33EF9" w:rsidRDefault="00533EF9" w:rsidP="00533EF9">
      <w:pPr>
        <w:spacing w:after="0" w:line="0" w:lineRule="atLeast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ind w:left="10620" w:firstLine="708"/>
        <w:jc w:val="both"/>
        <w:rPr>
          <w:rFonts w:ascii="Times New Roman" w:hAnsi="Times New Roman"/>
          <w:sz w:val="24"/>
          <w:szCs w:val="24"/>
        </w:rPr>
      </w:pPr>
      <w:r w:rsidRPr="00DD0C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избирательной </w:t>
      </w:r>
      <w:r w:rsidRPr="00DD0CCC">
        <w:rPr>
          <w:rFonts w:ascii="Times New Roman" w:hAnsi="Times New Roman"/>
          <w:sz w:val="24"/>
          <w:szCs w:val="24"/>
        </w:rPr>
        <w:t xml:space="preserve">комиссии </w:t>
      </w:r>
      <w:r w:rsidRPr="00533EF9">
        <w:rPr>
          <w:rFonts w:ascii="Times New Roman" w:hAnsi="Times New Roman"/>
          <w:sz w:val="24"/>
          <w:szCs w:val="24"/>
        </w:rPr>
        <w:t>муниципального образования сельское поселение Мулымья</w:t>
      </w:r>
    </w:p>
    <w:p w:rsidR="00533EF9" w:rsidRPr="00F73328" w:rsidRDefault="00533EF9" w:rsidP="00533EF9">
      <w:pPr>
        <w:spacing w:after="0" w:line="0" w:lineRule="atLeast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533EF9" w:rsidRPr="00DD0CCC" w:rsidRDefault="00533EF9" w:rsidP="00533EF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 w:rsidRPr="00DD0CCC">
        <w:rPr>
          <w:rFonts w:ascii="Times New Roman" w:hAnsi="Times New Roman"/>
          <w:i/>
          <w:sz w:val="24"/>
          <w:szCs w:val="24"/>
        </w:rPr>
        <w:t>«Запрос отчета о движении денежных средств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DD0CCC">
        <w:rPr>
          <w:rFonts w:ascii="Times New Roman" w:hAnsi="Times New Roman"/>
          <w:i/>
          <w:sz w:val="24"/>
          <w:szCs w:val="24"/>
        </w:rPr>
        <w:t>о специальным избирательным счетам кандидатов»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</w:p>
    <w:p w:rsidR="00533EF9" w:rsidRPr="00F73328" w:rsidRDefault="00533EF9" w:rsidP="00533EF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33EF9" w:rsidRPr="00F73328" w:rsidRDefault="00533EF9" w:rsidP="00533EF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F73328">
        <w:rPr>
          <w:rFonts w:ascii="Times New Roman" w:hAnsi="Times New Roman"/>
          <w:sz w:val="28"/>
          <w:szCs w:val="28"/>
        </w:rPr>
        <w:t>По запросу 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33EF9" w:rsidRDefault="00533EF9" w:rsidP="00533EF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73328">
        <w:rPr>
          <w:rFonts w:ascii="Times New Roman" w:hAnsi="Times New Roman"/>
          <w:sz w:val="24"/>
          <w:szCs w:val="24"/>
        </w:rPr>
        <w:t>(наименование избирательной комиссии)</w:t>
      </w:r>
    </w:p>
    <w:p w:rsidR="00533EF9" w:rsidRDefault="00533EF9" w:rsidP="00533EF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сформировать и направить отчет о денежных средств за период с «__» _________ 2019г.</w:t>
      </w:r>
      <w:r w:rsidRPr="00F73328"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 «__» _________ 2019г. по следующим специальным избирательным счетам кандидатов: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7732"/>
      </w:tblGrid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6A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6A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6A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6AFE">
              <w:rPr>
                <w:rFonts w:ascii="Times New Roman" w:hAnsi="Times New Roman"/>
                <w:sz w:val="24"/>
                <w:szCs w:val="24"/>
              </w:rPr>
              <w:t xml:space="preserve">ФИО кандидата </w:t>
            </w: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6AFE">
              <w:rPr>
                <w:rFonts w:ascii="Times New Roman" w:hAnsi="Times New Roman"/>
                <w:sz w:val="24"/>
                <w:szCs w:val="24"/>
              </w:rPr>
              <w:t xml:space="preserve">Номер счета кандидата </w:t>
            </w:r>
          </w:p>
        </w:tc>
      </w:tr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Исполнитель:_____________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33EF9" w:rsidRPr="00F73328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73328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конечная дата отчета не должна совпадать с датой формирования отчета и должна быть минимум на 1 день меньше. </w:t>
      </w:r>
    </w:p>
    <w:sectPr w:rsidR="00533EF9" w:rsidRPr="00F73328" w:rsidSect="00533EF9">
      <w:pgSz w:w="16838" w:h="11906" w:orient="landscape"/>
      <w:pgMar w:top="1418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1B78"/>
    <w:multiLevelType w:val="hybridMultilevel"/>
    <w:tmpl w:val="59F0C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9"/>
    <w:rsid w:val="00085AA0"/>
    <w:rsid w:val="00127DF5"/>
    <w:rsid w:val="002349F3"/>
    <w:rsid w:val="002410E3"/>
    <w:rsid w:val="00245EB7"/>
    <w:rsid w:val="002516A5"/>
    <w:rsid w:val="00351B8E"/>
    <w:rsid w:val="003F1272"/>
    <w:rsid w:val="003F13A8"/>
    <w:rsid w:val="0042674D"/>
    <w:rsid w:val="004541CE"/>
    <w:rsid w:val="00533EF9"/>
    <w:rsid w:val="00571599"/>
    <w:rsid w:val="006108DC"/>
    <w:rsid w:val="006A61B4"/>
    <w:rsid w:val="006C4F79"/>
    <w:rsid w:val="007526F5"/>
    <w:rsid w:val="0078050E"/>
    <w:rsid w:val="007938B7"/>
    <w:rsid w:val="007E0AE6"/>
    <w:rsid w:val="007E2FB2"/>
    <w:rsid w:val="008D58CF"/>
    <w:rsid w:val="00912E64"/>
    <w:rsid w:val="00A47BA1"/>
    <w:rsid w:val="00B94BD9"/>
    <w:rsid w:val="00C85A37"/>
    <w:rsid w:val="00CE5A05"/>
    <w:rsid w:val="00CF17B3"/>
    <w:rsid w:val="00D172EB"/>
    <w:rsid w:val="00E00559"/>
    <w:rsid w:val="00E83F0B"/>
    <w:rsid w:val="00ED359E"/>
    <w:rsid w:val="00F549C0"/>
    <w:rsid w:val="00FA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</cp:lastModifiedBy>
  <cp:revision>4</cp:revision>
  <dcterms:created xsi:type="dcterms:W3CDTF">2019-07-04T07:05:00Z</dcterms:created>
  <dcterms:modified xsi:type="dcterms:W3CDTF">2019-07-04T07:19:00Z</dcterms:modified>
</cp:coreProperties>
</file>