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F" w:rsidRPr="00AC0478" w:rsidRDefault="00CB1B6F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ab/>
        <w:t>Пояснительная записка к отчету об исполнении бюджета сельского поселения Мулымья за 201</w:t>
      </w:r>
      <w:r w:rsidR="00A642DB" w:rsidRPr="00AC0478">
        <w:rPr>
          <w:rFonts w:ascii="Times New Roman" w:hAnsi="Times New Roman"/>
          <w:sz w:val="28"/>
          <w:szCs w:val="28"/>
        </w:rPr>
        <w:t>8</w:t>
      </w:r>
      <w:r w:rsidRPr="00AC0478">
        <w:rPr>
          <w:rFonts w:ascii="Times New Roman" w:hAnsi="Times New Roman"/>
          <w:sz w:val="28"/>
          <w:szCs w:val="28"/>
        </w:rPr>
        <w:t xml:space="preserve"> год</w:t>
      </w:r>
      <w:r w:rsidR="007700CA" w:rsidRPr="00AC0478">
        <w:rPr>
          <w:rFonts w:ascii="Times New Roman" w:hAnsi="Times New Roman"/>
          <w:sz w:val="28"/>
          <w:szCs w:val="28"/>
        </w:rPr>
        <w:t>.</w:t>
      </w:r>
    </w:p>
    <w:p w:rsidR="00A642DB" w:rsidRPr="00AC0478" w:rsidRDefault="00A642DB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642DB" w:rsidRPr="00AC0478" w:rsidRDefault="00A642DB" w:rsidP="00A642DB">
      <w:pPr>
        <w:pStyle w:val="a3"/>
        <w:ind w:firstLine="426"/>
        <w:jc w:val="both"/>
        <w:rPr>
          <w:szCs w:val="28"/>
        </w:rPr>
      </w:pPr>
      <w:r w:rsidRPr="00AC0478">
        <w:rPr>
          <w:szCs w:val="28"/>
        </w:rPr>
        <w:t xml:space="preserve">Бюджет сельского поселения Мулымья на 2018 год по доходам, с учетом внесенных изменений, утвержден в размере </w:t>
      </w:r>
      <w:r w:rsidRPr="00AC0478">
        <w:rPr>
          <w:rStyle w:val="a9"/>
          <w:szCs w:val="28"/>
        </w:rPr>
        <w:t>58174,0</w:t>
      </w:r>
      <w:r w:rsidRPr="00AC0478">
        <w:rPr>
          <w:szCs w:val="28"/>
        </w:rPr>
        <w:t>тыс. руб., что составляет 128,08 %по отношению к бюджету 2017 года (</w:t>
      </w:r>
      <w:r w:rsidRPr="00AC0478">
        <w:rPr>
          <w:rStyle w:val="a9"/>
          <w:szCs w:val="28"/>
        </w:rPr>
        <w:t>45420,1</w:t>
      </w:r>
      <w:r w:rsidRPr="00AC0478">
        <w:rPr>
          <w:szCs w:val="28"/>
        </w:rPr>
        <w:t xml:space="preserve">тыс. руб.). По расходам бюджет поселения утвержден в размере </w:t>
      </w:r>
      <w:r w:rsidRPr="00AC0478">
        <w:rPr>
          <w:rStyle w:val="a9"/>
          <w:szCs w:val="28"/>
        </w:rPr>
        <w:t>58387,0</w:t>
      </w:r>
      <w:r w:rsidRPr="00AC0478">
        <w:rPr>
          <w:szCs w:val="28"/>
        </w:rPr>
        <w:t xml:space="preserve"> тыс. руб., что составило 128,27 % по отношению к бюджету 2018 года (</w:t>
      </w:r>
      <w:r w:rsidRPr="00AC0478">
        <w:rPr>
          <w:rStyle w:val="a9"/>
          <w:szCs w:val="28"/>
        </w:rPr>
        <w:t>45519,4</w:t>
      </w:r>
      <w:r w:rsidRPr="00AC0478">
        <w:rPr>
          <w:szCs w:val="28"/>
        </w:rPr>
        <w:t xml:space="preserve"> тыс. руб.).</w:t>
      </w:r>
    </w:p>
    <w:p w:rsidR="00A642DB" w:rsidRPr="00AC0478" w:rsidRDefault="00A642DB" w:rsidP="00A642DB">
      <w:pPr>
        <w:pStyle w:val="a3"/>
        <w:ind w:firstLine="426"/>
        <w:jc w:val="both"/>
        <w:rPr>
          <w:szCs w:val="28"/>
        </w:rPr>
      </w:pPr>
      <w:r w:rsidRPr="00AC0478">
        <w:rPr>
          <w:szCs w:val="28"/>
        </w:rPr>
        <w:t xml:space="preserve">Налоговые доходы. Исполнение, по налоговым доходам повысилось по сравнению с 2017 годом (9167,2 тыс. руб.) и составило 9905,7 тыс. руб., т.е. 108,06%. </w:t>
      </w:r>
    </w:p>
    <w:p w:rsidR="00A642DB" w:rsidRPr="00AC0478" w:rsidRDefault="00A642DB" w:rsidP="00A642DB">
      <w:pPr>
        <w:pStyle w:val="a3"/>
        <w:ind w:firstLine="426"/>
        <w:jc w:val="both"/>
        <w:rPr>
          <w:color w:val="C00000"/>
          <w:szCs w:val="28"/>
        </w:rPr>
      </w:pPr>
      <w:r w:rsidRPr="00AC0478">
        <w:rPr>
          <w:szCs w:val="28"/>
        </w:rPr>
        <w:t>Повышение поступления налога на доходы физических лиц с 4123,2 до 4841,1 тыс. рублей, что составляет 117,41% от исполнения 2017 года</w:t>
      </w:r>
      <w:r w:rsidRPr="00AC0478">
        <w:rPr>
          <w:color w:val="C00000"/>
          <w:szCs w:val="28"/>
        </w:rPr>
        <w:t xml:space="preserve">. </w:t>
      </w:r>
      <w:r w:rsidRPr="00AC0478">
        <w:rPr>
          <w:szCs w:val="28"/>
        </w:rPr>
        <w:t>Поступление от налогов на совокупный доход повысилось с 162,7 до 188,3 тыс. рублей. Поступления по земельному налогу понизилось на 53,5 тыс. рублей с 244,7 до 191,2 тыс. рублей, по налогу на имущество физических лиц поступления увеличилось на 34,9 тыс. рублей (с 203,2 до 238,1 тыс. рублей). Поступления по государственной пошлине снизилось на 10,8 тыс. рублей с 30,9 до 20,1 тыс. рублей, что составило 65,05%.</w:t>
      </w:r>
    </w:p>
    <w:p w:rsidR="00A642DB" w:rsidRPr="00AC0478" w:rsidRDefault="00A642DB" w:rsidP="00A642DB">
      <w:pPr>
        <w:pStyle w:val="a3"/>
        <w:ind w:firstLine="426"/>
        <w:jc w:val="both"/>
        <w:rPr>
          <w:szCs w:val="28"/>
        </w:rPr>
      </w:pPr>
      <w:r w:rsidRPr="00AC0478">
        <w:rPr>
          <w:szCs w:val="28"/>
        </w:rPr>
        <w:t>Неналоговые доходы. Поступления неналоговых доходов в 2018 составили 763,9 тыс. рублей, что составляет 80,71 % от исполнения 2017 г (946,5 тыс. рублей).</w:t>
      </w:r>
      <w:r w:rsidRPr="00AC0478">
        <w:rPr>
          <w:color w:val="C00000"/>
          <w:szCs w:val="28"/>
        </w:rPr>
        <w:t xml:space="preserve"> </w:t>
      </w:r>
      <w:proofErr w:type="gramStart"/>
      <w:r w:rsidRPr="00AC0478">
        <w:rPr>
          <w:szCs w:val="28"/>
        </w:rPr>
        <w:t>В том числе 640,0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мусоровоз) и площадей муниципальной собственности (почта, банк, баня).</w:t>
      </w:r>
      <w:proofErr w:type="gramEnd"/>
    </w:p>
    <w:p w:rsidR="00A642DB" w:rsidRPr="00AC0478" w:rsidRDefault="00A642DB" w:rsidP="00A642DB">
      <w:pPr>
        <w:pStyle w:val="a3"/>
        <w:ind w:firstLine="426"/>
        <w:jc w:val="both"/>
        <w:rPr>
          <w:color w:val="C00000"/>
          <w:szCs w:val="28"/>
        </w:rPr>
      </w:pPr>
    </w:p>
    <w:p w:rsidR="00A642DB" w:rsidRPr="00AC0478" w:rsidRDefault="00A642DB" w:rsidP="00A642DB">
      <w:pPr>
        <w:pStyle w:val="a3"/>
        <w:spacing w:line="360" w:lineRule="auto"/>
        <w:ind w:firstLine="426"/>
        <w:jc w:val="both"/>
        <w:rPr>
          <w:b/>
          <w:szCs w:val="28"/>
        </w:rPr>
      </w:pPr>
      <w:r w:rsidRPr="00AC0478">
        <w:rPr>
          <w:b/>
          <w:szCs w:val="28"/>
        </w:rPr>
        <w:t>Долевая структура исполнения доходной части бюджета за 2017- 2018г.г., %</w:t>
      </w:r>
    </w:p>
    <w:p w:rsidR="00A642DB" w:rsidRPr="00AC0478" w:rsidRDefault="00A642DB" w:rsidP="00A642DB">
      <w:pPr>
        <w:pStyle w:val="a3"/>
        <w:spacing w:line="360" w:lineRule="auto"/>
        <w:ind w:firstLine="426"/>
        <w:jc w:val="both"/>
        <w:rPr>
          <w:b/>
          <w:color w:val="C00000"/>
          <w:szCs w:val="28"/>
        </w:rPr>
      </w:pPr>
      <w:r w:rsidRPr="00AC0478">
        <w:rPr>
          <w:b/>
          <w:noProof/>
          <w:color w:val="C00000"/>
          <w:szCs w:val="28"/>
        </w:rPr>
        <w:drawing>
          <wp:inline distT="0" distB="0" distL="0" distR="0">
            <wp:extent cx="58007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42DB" w:rsidRPr="00AC0478" w:rsidRDefault="00A642DB" w:rsidP="00A642DB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>Анализ исполнения расходной части бюджета за 2018 год</w:t>
      </w:r>
    </w:p>
    <w:p w:rsidR="00A642DB" w:rsidRPr="00AC0478" w:rsidRDefault="00A642DB" w:rsidP="00A642DB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lastRenderedPageBreak/>
        <w:t>Расходная часть бюджета на 2018 год утверждена в сумме 58 387 031,28 рублей, фактическое исполнение за 2018 год составило 57 160 704,43 рублей или 97,9 % от уточненного плана.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642DB" w:rsidRPr="00AC0478" w:rsidRDefault="00A642DB" w:rsidP="00A642DB">
      <w:pPr>
        <w:ind w:right="339" w:firstLine="426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C0478"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940425" cy="3651071"/>
            <wp:effectExtent l="19050" t="0" r="22225" b="652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42DB" w:rsidRPr="00AC0478" w:rsidRDefault="00A642DB" w:rsidP="00A642DB">
      <w:pPr>
        <w:ind w:right="34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478">
        <w:rPr>
          <w:rFonts w:ascii="Times New Roman" w:hAnsi="Times New Roman"/>
          <w:sz w:val="28"/>
          <w:szCs w:val="28"/>
        </w:rPr>
        <w:t>Из представленной диаграммы видно, что основную долю расходов в общем объеме занимают расходы на культуру и кинематографию – 42,78 %, общегосударственные вопросы – 24,78 %, жилищно-коммунальное хозяйство – 21,41 %, , национальная экономика – 8,91 %, социальная политика – 0,63 %, национальная оборона – 0,69 %, образование – 0,51%, национальная безопасность и правоохранительная деятельность – 0,25 %, средства массовой информации – 0,03%.</w:t>
      </w:r>
      <w:proofErr w:type="gramEnd"/>
    </w:p>
    <w:p w:rsidR="00A642DB" w:rsidRPr="00AC0478" w:rsidRDefault="00A642DB" w:rsidP="00A642DB">
      <w:pPr>
        <w:ind w:right="339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>Сравнительный анализ исполнения бюджета по расходам в разрезе разделов бюджетной классификации за 2018 год и 2018 годы,  рублей</w:t>
      </w:r>
    </w:p>
    <w:tbl>
      <w:tblPr>
        <w:tblW w:w="4387" w:type="dxa"/>
        <w:tblInd w:w="93" w:type="dxa"/>
        <w:tblLook w:val="04A0" w:firstRow="1" w:lastRow="0" w:firstColumn="1" w:lastColumn="0" w:noHBand="0" w:noVBand="1"/>
      </w:tblPr>
      <w:tblGrid>
        <w:gridCol w:w="2033"/>
        <w:gridCol w:w="1186"/>
        <w:gridCol w:w="1114"/>
        <w:gridCol w:w="1185"/>
        <w:gridCol w:w="1265"/>
        <w:gridCol w:w="1207"/>
        <w:gridCol w:w="1153"/>
        <w:gridCol w:w="1185"/>
      </w:tblGrid>
      <w:tr w:rsidR="00A642DB" w:rsidRPr="00AC0478" w:rsidTr="00F15FDD">
        <w:trPr>
          <w:trHeight w:val="319"/>
        </w:trPr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бюджета 2017г.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Бюджет 2018 года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% Удельный вес исполнения за 2017 год в структуре расход</w:t>
            </w: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%Удельный вес исполнения за 2018 год в структуре расходо</w:t>
            </w: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</w:tr>
      <w:tr w:rsidR="00A642DB" w:rsidRPr="00AC0478" w:rsidTr="00F15FDD">
        <w:trPr>
          <w:trHeight w:val="987"/>
        </w:trPr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 к уточненному плану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 2018 года к исполнению 2017 года</w:t>
            </w: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Плановые</w:t>
            </w:r>
            <w:proofErr w:type="gramEnd"/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назначение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 2018 г.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2DB" w:rsidRPr="00AC0478" w:rsidTr="00F15FDD">
        <w:trPr>
          <w:trHeight w:val="319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6=5\4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7=5\3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45 429 060,60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58 387 031,28  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57 160 704,43  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0,979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1,258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93,32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13 395 395,13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14 382 328,90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14 257 079,15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0,991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24,94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99,13</w:t>
            </w:r>
          </w:p>
        </w:tc>
      </w:tr>
      <w:tr w:rsidR="00A642DB" w:rsidRPr="00AC0478" w:rsidTr="00F15FDD">
        <w:trPr>
          <w:trHeight w:val="319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378 200,00 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393 800,00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393 800,00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642DB" w:rsidRPr="00AC0478" w:rsidTr="00F15FDD">
        <w:trPr>
          <w:trHeight w:val="987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82 929,96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143 320,00  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143 320,00  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1,728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642DB" w:rsidRPr="00AC0478" w:rsidTr="00F15FDD">
        <w:trPr>
          <w:trHeight w:val="319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4 794 521,13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5 983 291,33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5 092 190,95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0,851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8,91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85,11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 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7 379 702,37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12 435 602,87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12 237 602,87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0,984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1,658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21,41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98,41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1 601,46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1 601,46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642DB" w:rsidRPr="00AC0478" w:rsidTr="00F15FDD">
        <w:trPr>
          <w:trHeight w:val="319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231 082,68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208 510,96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208 510,96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0,902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18 378 773,85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24 450 575,76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24 450 575,76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1,330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42,78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642DB" w:rsidRPr="00AC0478" w:rsidTr="00F15FDD">
        <w:trPr>
          <w:trHeight w:val="319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776 110,00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360 000,00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360 000,00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0,464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642DB" w:rsidRPr="00AC0478" w:rsidTr="00F15FDD">
        <w:trPr>
          <w:trHeight w:val="501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12 345,48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C15"/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28 000,00  </w:t>
            </w:r>
            <w:bookmarkEnd w:id="0"/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16 023,28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0,572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1,298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42DB" w:rsidRPr="00AC0478" w:rsidRDefault="00A642DB" w:rsidP="00F15FDD">
            <w:pPr>
              <w:ind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2DB" w:rsidRPr="00AC0478" w:rsidRDefault="00A642DB" w:rsidP="00F15FDD">
            <w:pPr>
              <w:ind w:firstLine="42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478">
              <w:rPr>
                <w:rFonts w:ascii="Times New Roman" w:hAnsi="Times New Roman"/>
                <w:color w:val="000000"/>
                <w:sz w:val="28"/>
                <w:szCs w:val="28"/>
              </w:rPr>
              <w:t>57,23</w:t>
            </w:r>
          </w:p>
        </w:tc>
      </w:tr>
    </w:tbl>
    <w:p w:rsidR="00A642DB" w:rsidRPr="00AC0478" w:rsidRDefault="00A642DB" w:rsidP="00A642DB">
      <w:pPr>
        <w:ind w:firstLine="426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Расходы бюджета по разделам профинансированы в объемах, не превышающих утвержденные бюджетом поселения на 2018 год. 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color w:val="C00000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Исполнение расходов по функциональной классификации характеризуется следующим образом</w:t>
      </w:r>
      <w:r w:rsidRPr="00AC0478">
        <w:rPr>
          <w:rFonts w:ascii="Times New Roman" w:hAnsi="Times New Roman"/>
          <w:color w:val="C00000"/>
          <w:sz w:val="28"/>
          <w:szCs w:val="28"/>
        </w:rPr>
        <w:t>.</w:t>
      </w:r>
    </w:p>
    <w:p w:rsidR="00A642DB" w:rsidRPr="00AC0478" w:rsidRDefault="00A642DB" w:rsidP="00A642DB">
      <w:pPr>
        <w:ind w:firstLine="426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642DB" w:rsidRPr="00AC0478" w:rsidRDefault="00A642DB" w:rsidP="00A642DB">
      <w:pPr>
        <w:widowControl w:val="0"/>
        <w:tabs>
          <w:tab w:val="left" w:pos="4500"/>
        </w:tabs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>Структура расходов бюджета в разрезе подразделов функциональной классификации представлена в 2018 году следующими данными:</w:t>
      </w:r>
    </w:p>
    <w:p w:rsidR="00A642DB" w:rsidRPr="00AC0478" w:rsidRDefault="00A642DB" w:rsidP="00A642DB">
      <w:pPr>
        <w:tabs>
          <w:tab w:val="left" w:pos="612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По разделу </w:t>
      </w:r>
      <w:r w:rsidRPr="00AC0478">
        <w:rPr>
          <w:rFonts w:ascii="Times New Roman" w:hAnsi="Times New Roman"/>
          <w:b/>
          <w:bCs/>
          <w:sz w:val="28"/>
          <w:szCs w:val="28"/>
        </w:rPr>
        <w:t xml:space="preserve">0100 «Общегосударственные вопросы» </w:t>
      </w:r>
      <w:r w:rsidRPr="00AC0478">
        <w:rPr>
          <w:rFonts w:ascii="Times New Roman" w:hAnsi="Times New Roman"/>
          <w:sz w:val="28"/>
          <w:szCs w:val="28"/>
        </w:rPr>
        <w:t>отражаются расходы на содержание органа местного самоуправления. Расходы составили 14 257 079,15 рублей или 99,1 % от планового назначения. К данному разделу относятся следующие подразделы:</w:t>
      </w:r>
    </w:p>
    <w:p w:rsidR="00A642DB" w:rsidRPr="00AC0478" w:rsidRDefault="00A642DB" w:rsidP="00A642DB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0102 «Функционирование высшего должностного лица субъекта РФ и муниципального образования» – 1 852 436,05 или 99,97% от плана;</w:t>
      </w:r>
    </w:p>
    <w:p w:rsidR="00A642DB" w:rsidRPr="00AC0478" w:rsidRDefault="00A642DB" w:rsidP="00A642DB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9 997 571,6 или 99,98 % от плана;</w:t>
      </w:r>
    </w:p>
    <w:p w:rsidR="00A642DB" w:rsidRPr="00AC0478" w:rsidRDefault="00A642DB" w:rsidP="00A642DB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0107 «Обеспечение проведения выборов и референдумов» - 561 528,00 или 100% от плана;</w:t>
      </w:r>
    </w:p>
    <w:p w:rsidR="00A642DB" w:rsidRPr="00AC0478" w:rsidRDefault="00A642DB" w:rsidP="00A642DB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0113 «Другие общегосударственные вопросы» – 1 845 543,20 или 93,75 % от плана.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>Раздел 0200 «</w:t>
      </w:r>
      <w:r w:rsidRPr="00AC0478">
        <w:rPr>
          <w:rStyle w:val="a8"/>
          <w:rFonts w:ascii="Times New Roman" w:eastAsia="Arial Unicode MS" w:hAnsi="Times New Roman"/>
          <w:sz w:val="28"/>
          <w:szCs w:val="28"/>
        </w:rPr>
        <w:t>Национальная оборона»</w:t>
      </w:r>
      <w:r w:rsidRPr="00AC0478">
        <w:rPr>
          <w:rFonts w:ascii="Times New Roman" w:hAnsi="Times New Roman"/>
          <w:sz w:val="28"/>
          <w:szCs w:val="28"/>
        </w:rPr>
        <w:t>. В рамках произведенных расходов осуществлялось финансирование подразделу 0203 «Мобилизационная и вневойсковая подготовка», по которому отражаются расходы по субвенции на осуществление первичного воинского учета на территориях, где отсутствуют военные комиссариаты. Расходы за 2018 год составили   393 800,00 рублей.</w:t>
      </w:r>
    </w:p>
    <w:p w:rsidR="00A642DB" w:rsidRPr="00AC0478" w:rsidRDefault="00A642DB" w:rsidP="00A642DB">
      <w:pPr>
        <w:pStyle w:val="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Pr="00AC0478">
        <w:rPr>
          <w:rFonts w:ascii="Times New Roman" w:hAnsi="Times New Roman"/>
          <w:sz w:val="28"/>
          <w:szCs w:val="28"/>
        </w:rPr>
        <w:t>. В рамках произведенных расходов осуществлялось финансирование следующих подразделов:</w:t>
      </w:r>
    </w:p>
    <w:p w:rsidR="00A642DB" w:rsidRPr="00AC0478" w:rsidRDefault="00A642DB" w:rsidP="00A642DB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Cs/>
          <w:sz w:val="28"/>
          <w:szCs w:val="28"/>
        </w:rPr>
        <w:lastRenderedPageBreak/>
        <w:t>0304 «Органы юстиции»</w:t>
      </w:r>
      <w:r w:rsidRPr="00AC047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C0478">
        <w:rPr>
          <w:rFonts w:ascii="Times New Roman" w:hAnsi="Times New Roman"/>
          <w:sz w:val="28"/>
          <w:szCs w:val="28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39 820,00 рублей, за счет средств окружного бюджета 9 236,00 рублей;</w:t>
      </w:r>
    </w:p>
    <w:p w:rsidR="00A642DB" w:rsidRPr="00AC0478" w:rsidRDefault="00A642DB" w:rsidP="00A642DB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0309 «Защита населения и территории от ЧС природного и техногенного характера, гражданская оборона – 78 000,00 рублей</w:t>
      </w:r>
    </w:p>
    <w:p w:rsidR="00A642DB" w:rsidRPr="00AC0478" w:rsidRDefault="00A642DB" w:rsidP="00A642DB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C00000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0314 «Обеспечение прав и законных интересов населения Кондинского района в отдельных сферах жизнедеятельности» - по данному подразделу отражаются расходы  на приобретение материальных ценностей  по профилактики терроризма и экстремизма в сумме 19 930 рублей</w:t>
      </w:r>
      <w:r w:rsidRPr="00AC0478">
        <w:rPr>
          <w:rFonts w:ascii="Times New Roman" w:hAnsi="Times New Roman"/>
          <w:color w:val="C00000"/>
          <w:sz w:val="28"/>
          <w:szCs w:val="28"/>
        </w:rPr>
        <w:t>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По разделу</w:t>
      </w:r>
      <w:r w:rsidRPr="00AC0478">
        <w:rPr>
          <w:rFonts w:ascii="Times New Roman" w:hAnsi="Times New Roman"/>
          <w:b/>
          <w:bCs/>
          <w:sz w:val="28"/>
          <w:szCs w:val="28"/>
        </w:rPr>
        <w:t xml:space="preserve"> 0400 «Национальная экономика» </w:t>
      </w:r>
      <w:proofErr w:type="gramStart"/>
      <w:r w:rsidRPr="00AC0478">
        <w:rPr>
          <w:rFonts w:ascii="Times New Roman" w:hAnsi="Times New Roman"/>
          <w:sz w:val="28"/>
          <w:szCs w:val="28"/>
        </w:rPr>
        <w:t xml:space="preserve">произведены расходы на сумму 5 092 190,95 рублей при  плане </w:t>
      </w:r>
      <w:r w:rsidRPr="00AC0478">
        <w:rPr>
          <w:rFonts w:ascii="Times New Roman" w:hAnsi="Times New Roman"/>
          <w:bCs/>
          <w:sz w:val="28"/>
          <w:szCs w:val="28"/>
        </w:rPr>
        <w:t xml:space="preserve">5 983 291,33 </w:t>
      </w:r>
      <w:r w:rsidRPr="00AC0478">
        <w:rPr>
          <w:rFonts w:ascii="Times New Roman" w:hAnsi="Times New Roman"/>
          <w:sz w:val="28"/>
          <w:szCs w:val="28"/>
        </w:rPr>
        <w:t>рублей исполнение составляет</w:t>
      </w:r>
      <w:proofErr w:type="gramEnd"/>
      <w:r w:rsidRPr="00AC0478">
        <w:rPr>
          <w:rFonts w:ascii="Times New Roman" w:hAnsi="Times New Roman"/>
          <w:sz w:val="28"/>
          <w:szCs w:val="28"/>
        </w:rPr>
        <w:t xml:space="preserve"> 85,11%.</w:t>
      </w:r>
    </w:p>
    <w:p w:rsidR="00A642DB" w:rsidRPr="00AC0478" w:rsidRDefault="00A642DB" w:rsidP="00A642DB">
      <w:pPr>
        <w:pStyle w:val="3"/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A642DB" w:rsidRPr="00AC0478" w:rsidRDefault="00A642DB" w:rsidP="00A642DB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Cs/>
          <w:sz w:val="28"/>
          <w:szCs w:val="28"/>
        </w:rPr>
        <w:t>0401 «Общеэкономические вопросы»</w:t>
      </w:r>
      <w:r w:rsidRPr="00AC0478">
        <w:rPr>
          <w:rFonts w:ascii="Times New Roman" w:hAnsi="Times New Roman"/>
          <w:sz w:val="28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 w:rsidRPr="00AC0478">
        <w:rPr>
          <w:rFonts w:ascii="Times New Roman" w:hAnsi="Times New Roman"/>
          <w:bCs/>
          <w:sz w:val="28"/>
          <w:szCs w:val="28"/>
        </w:rPr>
        <w:t xml:space="preserve">1 729 542,9300 </w:t>
      </w:r>
      <w:r w:rsidRPr="00AC0478">
        <w:rPr>
          <w:rFonts w:ascii="Times New Roman" w:hAnsi="Times New Roman"/>
          <w:sz w:val="28"/>
          <w:szCs w:val="28"/>
        </w:rPr>
        <w:t xml:space="preserve">рублей при плане </w:t>
      </w:r>
      <w:r w:rsidRPr="00AC0478">
        <w:rPr>
          <w:rFonts w:ascii="Times New Roman" w:hAnsi="Times New Roman"/>
          <w:bCs/>
          <w:sz w:val="28"/>
          <w:szCs w:val="28"/>
        </w:rPr>
        <w:t xml:space="preserve"> 1 957 142,45 </w:t>
      </w:r>
      <w:r w:rsidRPr="00AC0478">
        <w:rPr>
          <w:rFonts w:ascii="Times New Roman" w:hAnsi="Times New Roman"/>
          <w:sz w:val="28"/>
          <w:szCs w:val="28"/>
        </w:rPr>
        <w:t>рублей;</w:t>
      </w:r>
    </w:p>
    <w:p w:rsidR="00A642DB" w:rsidRPr="00AC0478" w:rsidRDefault="00A642DB" w:rsidP="00A642DB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0409 «Дорожное хозяйство» - по данному подразделу отражаются расходы содержание дорог. Исполнение составляет 81,86% от плана  или 2 993 725,13 руб. (ремонтно-восстановительные работы и содержание дорог, приобретение и установка дорожных знаков);</w:t>
      </w:r>
    </w:p>
    <w:p w:rsidR="00A642DB" w:rsidRPr="00AC0478" w:rsidRDefault="00A642DB" w:rsidP="00A642DB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Cs/>
          <w:sz w:val="28"/>
          <w:szCs w:val="28"/>
        </w:rPr>
        <w:t xml:space="preserve">0410 «Связь и информатика» - </w:t>
      </w:r>
      <w:r w:rsidRPr="00AC0478"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 на услуги телефонной связи и интернета, а также на обслуживание программных продуктов («1С», «СБИС+», «Консультант+», АИС «Паспортный стол ЖЭО», АС «Бюджет», обслуживание сайта) при уточненном плане 368 922,89 рублей, исполнение составляет </w:t>
      </w:r>
      <w:r w:rsidRPr="00AC0478">
        <w:rPr>
          <w:rFonts w:ascii="Times New Roman" w:hAnsi="Times New Roman"/>
          <w:bCs/>
          <w:sz w:val="28"/>
          <w:szCs w:val="28"/>
        </w:rPr>
        <w:t xml:space="preserve">368 922,89 </w:t>
      </w:r>
      <w:r w:rsidRPr="00AC0478">
        <w:rPr>
          <w:rFonts w:ascii="Times New Roman" w:hAnsi="Times New Roman"/>
          <w:sz w:val="28"/>
          <w:szCs w:val="28"/>
        </w:rPr>
        <w:t>рубля или 100,0%;</w:t>
      </w:r>
    </w:p>
    <w:p w:rsidR="00A642DB" w:rsidRPr="00AC0478" w:rsidRDefault="00A642DB" w:rsidP="00A642DB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По разделу </w:t>
      </w:r>
      <w:r w:rsidRPr="00AC0478">
        <w:rPr>
          <w:rFonts w:ascii="Times New Roman" w:hAnsi="Times New Roman"/>
          <w:b/>
          <w:sz w:val="28"/>
          <w:szCs w:val="28"/>
        </w:rPr>
        <w:t xml:space="preserve">0500 «Жилищно-коммунальное хозяйство» </w:t>
      </w:r>
      <w:r w:rsidRPr="00AC0478">
        <w:rPr>
          <w:rFonts w:ascii="Times New Roman" w:hAnsi="Times New Roman"/>
          <w:sz w:val="28"/>
          <w:szCs w:val="28"/>
        </w:rPr>
        <w:t>произведены расходы  на сумму 12 237 602,87 рублей при плановом назначении 12 435 602,87 рублей исполнение составляет 98,41 %.</w:t>
      </w:r>
    </w:p>
    <w:p w:rsidR="00A642DB" w:rsidRPr="00AC0478" w:rsidRDefault="00A642DB" w:rsidP="00A642DB">
      <w:pPr>
        <w:pStyle w:val="3"/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A642DB" w:rsidRPr="00AC0478" w:rsidRDefault="00A642DB" w:rsidP="00A642DB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Cs/>
          <w:sz w:val="28"/>
          <w:szCs w:val="28"/>
        </w:rPr>
        <w:t xml:space="preserve">0501 «Жилищное хозяйство» - </w:t>
      </w:r>
      <w:r w:rsidRPr="00AC0478">
        <w:rPr>
          <w:rFonts w:ascii="Times New Roman" w:hAnsi="Times New Roman"/>
          <w:sz w:val="28"/>
          <w:szCs w:val="28"/>
        </w:rPr>
        <w:t>по данному подразделу отражаются расходы на содержание муниципального жилого фонда. Исполнение за 2018 год составляет 41 703,17 рубля, или 100,0% от плановых назначений;</w:t>
      </w:r>
    </w:p>
    <w:p w:rsidR="00A642DB" w:rsidRPr="00AC0478" w:rsidRDefault="00A642DB" w:rsidP="00A642DB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0502 «Коммунальное хозяйство» по данному разделу отражаются средства, подлежащие возврату другим бюджетам бюджетной системы РФ, </w:t>
      </w:r>
      <w:proofErr w:type="gramStart"/>
      <w:r w:rsidRPr="00AC047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C0478">
        <w:rPr>
          <w:rFonts w:ascii="Times New Roman" w:hAnsi="Times New Roman"/>
          <w:sz w:val="28"/>
          <w:szCs w:val="28"/>
        </w:rPr>
        <w:t xml:space="preserve"> заключенного соглашения. Расходы  за 2018 год </w:t>
      </w:r>
      <w:proofErr w:type="gramStart"/>
      <w:r w:rsidRPr="00AC0478">
        <w:rPr>
          <w:rFonts w:ascii="Times New Roman" w:hAnsi="Times New Roman"/>
          <w:sz w:val="28"/>
          <w:szCs w:val="28"/>
        </w:rPr>
        <w:t>составили  6 725 034,30 рублей при плановом назначении 6 923 034,30 рублей исполнение составляет</w:t>
      </w:r>
      <w:proofErr w:type="gramEnd"/>
      <w:r w:rsidRPr="00AC0478">
        <w:rPr>
          <w:rFonts w:ascii="Times New Roman" w:hAnsi="Times New Roman"/>
          <w:sz w:val="28"/>
          <w:szCs w:val="28"/>
        </w:rPr>
        <w:t xml:space="preserve"> 97,14%.</w:t>
      </w:r>
    </w:p>
    <w:p w:rsidR="00A642DB" w:rsidRPr="00AC0478" w:rsidRDefault="00A642DB" w:rsidP="00A642DB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C0478">
        <w:rPr>
          <w:rFonts w:ascii="Times New Roman" w:hAnsi="Times New Roman"/>
          <w:bCs/>
          <w:sz w:val="28"/>
          <w:szCs w:val="28"/>
        </w:rPr>
        <w:t xml:space="preserve">0503 «Благоустройство» </w:t>
      </w:r>
      <w:r w:rsidRPr="00AC0478">
        <w:rPr>
          <w:rFonts w:ascii="Times New Roman" w:hAnsi="Times New Roman"/>
          <w:sz w:val="28"/>
          <w:szCs w:val="28"/>
        </w:rPr>
        <w:t>в рамках данного подраздела отражаются расходы по следующим направлениям:</w:t>
      </w:r>
    </w:p>
    <w:p w:rsidR="00A642DB" w:rsidRPr="00AC0478" w:rsidRDefault="00A642DB" w:rsidP="00A642DB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мероприятия по уличному освещению, при плановых назначениях 1 282 454,67 рублей, исполнение составляет 1 282 454,67 рублей;</w:t>
      </w:r>
    </w:p>
    <w:p w:rsidR="00A642DB" w:rsidRPr="00AC0478" w:rsidRDefault="00A642DB" w:rsidP="00A642D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прочие мероприятия по благоустройству – исполнение составляет 3 847 263,73 рублей при плане 3 847 263,73 рублей. </w:t>
      </w:r>
    </w:p>
    <w:p w:rsidR="00A642DB" w:rsidRPr="00AC0478" w:rsidRDefault="00A642DB" w:rsidP="00A642DB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478">
        <w:rPr>
          <w:rFonts w:ascii="Times New Roman" w:hAnsi="Times New Roman"/>
          <w:bCs/>
          <w:sz w:val="28"/>
          <w:szCs w:val="28"/>
        </w:rPr>
        <w:lastRenderedPageBreak/>
        <w:t xml:space="preserve">0505 «Другие вопросы в области жилищно-коммунального хозяйства» - </w:t>
      </w:r>
      <w:r w:rsidRPr="00AC0478">
        <w:rPr>
          <w:rFonts w:ascii="Times New Roman" w:hAnsi="Times New Roman"/>
          <w:sz w:val="28"/>
          <w:szCs w:val="28"/>
        </w:rPr>
        <w:t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№ 9(2018-2018)  от 21 декабря 2015 года и постановление администрации сельского поселения Мулымья от 10 ноября 2015 года № 203 «</w:t>
      </w:r>
      <w:r w:rsidRPr="00AC047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AC0478">
        <w:rPr>
          <w:rFonts w:ascii="Times New Roman" w:hAnsi="Times New Roman"/>
          <w:sz w:val="28"/>
          <w:szCs w:val="28"/>
        </w:rPr>
        <w:t>Порядка</w:t>
      </w:r>
      <w:proofErr w:type="gramEnd"/>
      <w:r w:rsidRPr="00AC0478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сельского поселения Мулымья». Расходы составил 341 147 рублей или 100% от плановых назначений.</w:t>
      </w:r>
    </w:p>
    <w:p w:rsidR="00A642DB" w:rsidRPr="00AC0478" w:rsidRDefault="00A642DB" w:rsidP="00A642DB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 xml:space="preserve">Раздел 0600 «Охрана окружающей среды» - </w:t>
      </w:r>
      <w:r w:rsidRPr="00AC0478">
        <w:rPr>
          <w:rFonts w:ascii="Times New Roman" w:hAnsi="Times New Roman"/>
          <w:sz w:val="28"/>
          <w:szCs w:val="28"/>
        </w:rPr>
        <w:t>в рамках данного раздела отражаются расходы по подразделу 0605 «Другие вопросы в области охраны окружающей среды». Исполнение составляет 1 601,46 рубля или 100,0% от уточненного плана</w:t>
      </w:r>
    </w:p>
    <w:p w:rsidR="00A642DB" w:rsidRPr="00AC0478" w:rsidRDefault="00A642DB" w:rsidP="00A642DB">
      <w:pPr>
        <w:pStyle w:val="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 xml:space="preserve">Раздел 0700 «Образование» - </w:t>
      </w:r>
      <w:r w:rsidRPr="00AC0478">
        <w:rPr>
          <w:rFonts w:ascii="Times New Roman" w:hAnsi="Times New Roman"/>
          <w:sz w:val="28"/>
          <w:szCs w:val="28"/>
        </w:rPr>
        <w:t>в рамках данного раздела отражаются расходы по подразделу 0707 «Молодежная политика и оздоровление детей». Исполнение составляет 208 510,96 рубля или 100,0% от уточненного плана.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>Раздел 0800 «Культура, кинематография» - в рамках данного раздела осуществляются р</w:t>
      </w:r>
      <w:bookmarkStart w:id="1" w:name="_GoBack"/>
      <w:bookmarkEnd w:id="1"/>
      <w:r w:rsidRPr="00AC0478">
        <w:rPr>
          <w:rFonts w:ascii="Times New Roman" w:hAnsi="Times New Roman"/>
          <w:b/>
          <w:bCs/>
          <w:sz w:val="28"/>
          <w:szCs w:val="28"/>
        </w:rPr>
        <w:t xml:space="preserve">асходы по следующим подразделам </w:t>
      </w:r>
    </w:p>
    <w:p w:rsidR="00A642DB" w:rsidRPr="00AC0478" w:rsidRDefault="00A642DB" w:rsidP="00A642DB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 w:rsidRPr="00AC0478">
        <w:rPr>
          <w:rFonts w:ascii="Times New Roman" w:hAnsi="Times New Roman"/>
          <w:sz w:val="28"/>
          <w:szCs w:val="28"/>
        </w:rPr>
        <w:t>который</w:t>
      </w:r>
      <w:proofErr w:type="gramEnd"/>
      <w:r w:rsidRPr="00AC0478">
        <w:rPr>
          <w:rFonts w:ascii="Times New Roman" w:hAnsi="Times New Roman"/>
          <w:sz w:val="28"/>
          <w:szCs w:val="28"/>
        </w:rPr>
        <w:t xml:space="preserve"> является юридическим лицом, штатная численность  составляет 31,25 единиц. При плане 24 450 575,76 рублей исполнение за 2018 год составляет  24 450 575,76 рублей или 100,0 %.</w:t>
      </w:r>
    </w:p>
    <w:p w:rsidR="00A642DB" w:rsidRPr="00AC0478" w:rsidRDefault="00A642DB" w:rsidP="00A642DB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 xml:space="preserve">В рамках раздела </w:t>
      </w:r>
      <w:r w:rsidRPr="00AC0478">
        <w:rPr>
          <w:rFonts w:ascii="Times New Roman" w:hAnsi="Times New Roman"/>
          <w:b/>
          <w:bCs/>
          <w:sz w:val="28"/>
          <w:szCs w:val="28"/>
        </w:rPr>
        <w:t xml:space="preserve">1000 «Социальная политика» </w:t>
      </w:r>
      <w:r w:rsidRPr="00AC0478">
        <w:rPr>
          <w:rFonts w:ascii="Times New Roman" w:hAnsi="Times New Roman"/>
          <w:sz w:val="28"/>
          <w:szCs w:val="28"/>
        </w:rPr>
        <w:t>отражаются пособия и компенсации гражданам и иные социальные выплаты, кроме публичных обязательств. По подразделу 1001 «Доплата к пенсиям» исполнение составляет 100,0% от плана или 360 000,00 рублей.</w:t>
      </w:r>
    </w:p>
    <w:p w:rsidR="008413B7" w:rsidRPr="00AC0478" w:rsidRDefault="00A642DB" w:rsidP="00A642D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b/>
          <w:bCs/>
          <w:sz w:val="28"/>
          <w:szCs w:val="28"/>
        </w:rPr>
        <w:t xml:space="preserve">Раздел 1200 «Средства массовой информации» - </w:t>
      </w:r>
      <w:r w:rsidRPr="00AC0478">
        <w:rPr>
          <w:rFonts w:ascii="Times New Roman" w:hAnsi="Times New Roman"/>
          <w:sz w:val="28"/>
          <w:szCs w:val="28"/>
        </w:rPr>
        <w:t>по данному разделу отражаются расходы на опубликование и обнародование нормативно-правовых актов сельского поселения Мулымья. Расходы составили 57,23% от плана или 16 023,28 рублей.</w:t>
      </w:r>
    </w:p>
    <w:p w:rsidR="007700CA" w:rsidRPr="00AC0478" w:rsidRDefault="007700CA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44AC7" w:rsidRPr="00AC0478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Глава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сельского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поселения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Мулымья</w:t>
      </w:r>
      <w:r w:rsidR="008413B7" w:rsidRPr="00AC047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C0478">
        <w:rPr>
          <w:rFonts w:ascii="Times New Roman" w:hAnsi="Times New Roman"/>
          <w:sz w:val="28"/>
          <w:szCs w:val="28"/>
        </w:rPr>
        <w:t>Е.В.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Белослудцев</w:t>
      </w:r>
    </w:p>
    <w:p w:rsidR="00044AC7" w:rsidRPr="00AC0478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4AC7" w:rsidRPr="00AC0478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0478">
        <w:rPr>
          <w:rFonts w:ascii="Times New Roman" w:hAnsi="Times New Roman"/>
          <w:sz w:val="28"/>
          <w:szCs w:val="28"/>
        </w:rPr>
        <w:t>Начальник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финансово-экономического</w:t>
      </w:r>
      <w:r w:rsidR="008413B7" w:rsidRPr="00AC0478">
        <w:rPr>
          <w:rFonts w:ascii="Times New Roman" w:hAnsi="Times New Roman"/>
          <w:sz w:val="28"/>
          <w:szCs w:val="28"/>
        </w:rPr>
        <w:t xml:space="preserve"> </w:t>
      </w:r>
      <w:r w:rsidRPr="00AC0478">
        <w:rPr>
          <w:rFonts w:ascii="Times New Roman" w:hAnsi="Times New Roman"/>
          <w:sz w:val="28"/>
          <w:szCs w:val="28"/>
        </w:rPr>
        <w:t>отдела</w:t>
      </w:r>
      <w:r w:rsidR="008413B7" w:rsidRPr="00AC0478">
        <w:rPr>
          <w:rFonts w:ascii="Times New Roman" w:hAnsi="Times New Roman"/>
          <w:sz w:val="28"/>
          <w:szCs w:val="28"/>
        </w:rPr>
        <w:t xml:space="preserve">                       А.И. Белоусова</w:t>
      </w:r>
    </w:p>
    <w:sectPr w:rsidR="00044AC7" w:rsidRPr="00AC0478" w:rsidSect="00F63036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A75"/>
    <w:multiLevelType w:val="hybridMultilevel"/>
    <w:tmpl w:val="C80E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07FB2"/>
    <w:multiLevelType w:val="hybridMultilevel"/>
    <w:tmpl w:val="D958A3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363"/>
    <w:multiLevelType w:val="multilevel"/>
    <w:tmpl w:val="D3C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26E72"/>
    <w:multiLevelType w:val="hybridMultilevel"/>
    <w:tmpl w:val="249E31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0859"/>
    <w:multiLevelType w:val="multilevel"/>
    <w:tmpl w:val="B80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193B"/>
    <w:multiLevelType w:val="hybridMultilevel"/>
    <w:tmpl w:val="1F487D2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4FF262B"/>
    <w:multiLevelType w:val="hybridMultilevel"/>
    <w:tmpl w:val="F3D86FB0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3680D"/>
    <w:multiLevelType w:val="hybridMultilevel"/>
    <w:tmpl w:val="D74A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87DCD"/>
    <w:multiLevelType w:val="hybridMultilevel"/>
    <w:tmpl w:val="82E8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A0631"/>
    <w:multiLevelType w:val="multilevel"/>
    <w:tmpl w:val="788878D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D16B8"/>
    <w:multiLevelType w:val="hybridMultilevel"/>
    <w:tmpl w:val="D812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340A"/>
    <w:multiLevelType w:val="multilevel"/>
    <w:tmpl w:val="CC7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601E"/>
    <w:multiLevelType w:val="hybridMultilevel"/>
    <w:tmpl w:val="3D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D74"/>
    <w:rsid w:val="00000705"/>
    <w:rsid w:val="00000E25"/>
    <w:rsid w:val="00004775"/>
    <w:rsid w:val="0000704C"/>
    <w:rsid w:val="00010625"/>
    <w:rsid w:val="00011C7C"/>
    <w:rsid w:val="00012EF5"/>
    <w:rsid w:val="00016B00"/>
    <w:rsid w:val="00016B4C"/>
    <w:rsid w:val="00020616"/>
    <w:rsid w:val="00021038"/>
    <w:rsid w:val="00021422"/>
    <w:rsid w:val="00021842"/>
    <w:rsid w:val="0002334C"/>
    <w:rsid w:val="000276D0"/>
    <w:rsid w:val="0003109D"/>
    <w:rsid w:val="0003121B"/>
    <w:rsid w:val="0003263B"/>
    <w:rsid w:val="0003398B"/>
    <w:rsid w:val="00036221"/>
    <w:rsid w:val="00040F76"/>
    <w:rsid w:val="00041F1B"/>
    <w:rsid w:val="00044AC7"/>
    <w:rsid w:val="00050781"/>
    <w:rsid w:val="00063CCA"/>
    <w:rsid w:val="00067B1F"/>
    <w:rsid w:val="00077E0F"/>
    <w:rsid w:val="000837F8"/>
    <w:rsid w:val="0008564E"/>
    <w:rsid w:val="00090EBD"/>
    <w:rsid w:val="00093A93"/>
    <w:rsid w:val="00094299"/>
    <w:rsid w:val="00097192"/>
    <w:rsid w:val="000A2771"/>
    <w:rsid w:val="000A3A8C"/>
    <w:rsid w:val="000A433C"/>
    <w:rsid w:val="000A5F5D"/>
    <w:rsid w:val="000A7E91"/>
    <w:rsid w:val="000B706C"/>
    <w:rsid w:val="000C06D7"/>
    <w:rsid w:val="000C0A3E"/>
    <w:rsid w:val="000C3445"/>
    <w:rsid w:val="000C5CF8"/>
    <w:rsid w:val="000C6F3E"/>
    <w:rsid w:val="000D1496"/>
    <w:rsid w:val="000D2328"/>
    <w:rsid w:val="000D4468"/>
    <w:rsid w:val="000D6B33"/>
    <w:rsid w:val="000E1A98"/>
    <w:rsid w:val="000E2938"/>
    <w:rsid w:val="000E29E8"/>
    <w:rsid w:val="000E41A9"/>
    <w:rsid w:val="000E7877"/>
    <w:rsid w:val="000F212E"/>
    <w:rsid w:val="000F462E"/>
    <w:rsid w:val="000F5251"/>
    <w:rsid w:val="000F62F7"/>
    <w:rsid w:val="000F63A4"/>
    <w:rsid w:val="00102213"/>
    <w:rsid w:val="00103514"/>
    <w:rsid w:val="00105442"/>
    <w:rsid w:val="00110518"/>
    <w:rsid w:val="0011068F"/>
    <w:rsid w:val="00113406"/>
    <w:rsid w:val="00113455"/>
    <w:rsid w:val="00124B83"/>
    <w:rsid w:val="00124F66"/>
    <w:rsid w:val="00130CE2"/>
    <w:rsid w:val="00131F58"/>
    <w:rsid w:val="00132169"/>
    <w:rsid w:val="0013460D"/>
    <w:rsid w:val="00135D0E"/>
    <w:rsid w:val="00136EA6"/>
    <w:rsid w:val="00140044"/>
    <w:rsid w:val="001413C3"/>
    <w:rsid w:val="001426E4"/>
    <w:rsid w:val="00142895"/>
    <w:rsid w:val="00147D74"/>
    <w:rsid w:val="00152938"/>
    <w:rsid w:val="00153F3F"/>
    <w:rsid w:val="00154F6B"/>
    <w:rsid w:val="00155B7B"/>
    <w:rsid w:val="0015738C"/>
    <w:rsid w:val="00160FA4"/>
    <w:rsid w:val="001645AC"/>
    <w:rsid w:val="00165353"/>
    <w:rsid w:val="001741CB"/>
    <w:rsid w:val="00174FF2"/>
    <w:rsid w:val="00175960"/>
    <w:rsid w:val="00176613"/>
    <w:rsid w:val="00177080"/>
    <w:rsid w:val="00177797"/>
    <w:rsid w:val="00182F1F"/>
    <w:rsid w:val="00183237"/>
    <w:rsid w:val="00192803"/>
    <w:rsid w:val="0019291B"/>
    <w:rsid w:val="00192F8A"/>
    <w:rsid w:val="00193A0F"/>
    <w:rsid w:val="00194FAE"/>
    <w:rsid w:val="001965A8"/>
    <w:rsid w:val="00197018"/>
    <w:rsid w:val="001A20FB"/>
    <w:rsid w:val="001A4EE6"/>
    <w:rsid w:val="001A7CC5"/>
    <w:rsid w:val="001A7E21"/>
    <w:rsid w:val="001B02BE"/>
    <w:rsid w:val="001B4DF1"/>
    <w:rsid w:val="001B5AEA"/>
    <w:rsid w:val="001B7F5B"/>
    <w:rsid w:val="001C1E8A"/>
    <w:rsid w:val="001C45AA"/>
    <w:rsid w:val="001D20DB"/>
    <w:rsid w:val="001D3F5B"/>
    <w:rsid w:val="001D6DCA"/>
    <w:rsid w:val="001D7D57"/>
    <w:rsid w:val="001E45A0"/>
    <w:rsid w:val="001E55D6"/>
    <w:rsid w:val="001E69BF"/>
    <w:rsid w:val="001F10A4"/>
    <w:rsid w:val="001F56C0"/>
    <w:rsid w:val="00202F46"/>
    <w:rsid w:val="00203142"/>
    <w:rsid w:val="0021005F"/>
    <w:rsid w:val="00211962"/>
    <w:rsid w:val="00214051"/>
    <w:rsid w:val="00214A8B"/>
    <w:rsid w:val="002152C5"/>
    <w:rsid w:val="00215F38"/>
    <w:rsid w:val="002206DE"/>
    <w:rsid w:val="00220A60"/>
    <w:rsid w:val="00220A64"/>
    <w:rsid w:val="0022249D"/>
    <w:rsid w:val="00222C0B"/>
    <w:rsid w:val="002267C7"/>
    <w:rsid w:val="00231D0A"/>
    <w:rsid w:val="002330D7"/>
    <w:rsid w:val="00234F41"/>
    <w:rsid w:val="002407F2"/>
    <w:rsid w:val="00244D11"/>
    <w:rsid w:val="00245671"/>
    <w:rsid w:val="002456CF"/>
    <w:rsid w:val="002460EC"/>
    <w:rsid w:val="00250610"/>
    <w:rsid w:val="00253EC5"/>
    <w:rsid w:val="00261724"/>
    <w:rsid w:val="002617AF"/>
    <w:rsid w:val="00264C9F"/>
    <w:rsid w:val="00271410"/>
    <w:rsid w:val="0027378A"/>
    <w:rsid w:val="00274F85"/>
    <w:rsid w:val="002812D1"/>
    <w:rsid w:val="00281690"/>
    <w:rsid w:val="002832D7"/>
    <w:rsid w:val="002878C8"/>
    <w:rsid w:val="00291ED6"/>
    <w:rsid w:val="00292503"/>
    <w:rsid w:val="002A0A5F"/>
    <w:rsid w:val="002A66AA"/>
    <w:rsid w:val="002B3BBA"/>
    <w:rsid w:val="002B4BB9"/>
    <w:rsid w:val="002B6247"/>
    <w:rsid w:val="002B6593"/>
    <w:rsid w:val="002C0A65"/>
    <w:rsid w:val="002C1AF9"/>
    <w:rsid w:val="002C1E07"/>
    <w:rsid w:val="002C4D5F"/>
    <w:rsid w:val="002C6825"/>
    <w:rsid w:val="002C6B11"/>
    <w:rsid w:val="002C7CF3"/>
    <w:rsid w:val="002D34F3"/>
    <w:rsid w:val="002D483F"/>
    <w:rsid w:val="002D7DF5"/>
    <w:rsid w:val="002E17C2"/>
    <w:rsid w:val="002E22D4"/>
    <w:rsid w:val="002E2B45"/>
    <w:rsid w:val="002E59AC"/>
    <w:rsid w:val="002F12D8"/>
    <w:rsid w:val="002F6680"/>
    <w:rsid w:val="002F66FC"/>
    <w:rsid w:val="002F6F6F"/>
    <w:rsid w:val="00300017"/>
    <w:rsid w:val="0030109F"/>
    <w:rsid w:val="003026FE"/>
    <w:rsid w:val="00304A93"/>
    <w:rsid w:val="0030526C"/>
    <w:rsid w:val="00305956"/>
    <w:rsid w:val="0031458C"/>
    <w:rsid w:val="00317057"/>
    <w:rsid w:val="00322247"/>
    <w:rsid w:val="0032246F"/>
    <w:rsid w:val="00324111"/>
    <w:rsid w:val="00330D91"/>
    <w:rsid w:val="00332DB7"/>
    <w:rsid w:val="0033402B"/>
    <w:rsid w:val="00334A48"/>
    <w:rsid w:val="00335F3C"/>
    <w:rsid w:val="00337D33"/>
    <w:rsid w:val="0034600E"/>
    <w:rsid w:val="0035054B"/>
    <w:rsid w:val="00354829"/>
    <w:rsid w:val="003573D1"/>
    <w:rsid w:val="00357441"/>
    <w:rsid w:val="00366205"/>
    <w:rsid w:val="00370D19"/>
    <w:rsid w:val="003710DA"/>
    <w:rsid w:val="00372416"/>
    <w:rsid w:val="00377BAA"/>
    <w:rsid w:val="003925A2"/>
    <w:rsid w:val="00397446"/>
    <w:rsid w:val="0039798C"/>
    <w:rsid w:val="00397CD6"/>
    <w:rsid w:val="003A202B"/>
    <w:rsid w:val="003A3F5F"/>
    <w:rsid w:val="003A49A7"/>
    <w:rsid w:val="003A540D"/>
    <w:rsid w:val="003A6092"/>
    <w:rsid w:val="003A68AE"/>
    <w:rsid w:val="003B3DDE"/>
    <w:rsid w:val="003B3E8A"/>
    <w:rsid w:val="003B5B3F"/>
    <w:rsid w:val="003C08A7"/>
    <w:rsid w:val="003C187B"/>
    <w:rsid w:val="003C2A48"/>
    <w:rsid w:val="003C3313"/>
    <w:rsid w:val="003C438A"/>
    <w:rsid w:val="003C57B7"/>
    <w:rsid w:val="003C5B07"/>
    <w:rsid w:val="003C5CE0"/>
    <w:rsid w:val="003C677F"/>
    <w:rsid w:val="003C67C3"/>
    <w:rsid w:val="003D3C76"/>
    <w:rsid w:val="003D5476"/>
    <w:rsid w:val="003D5590"/>
    <w:rsid w:val="003E12EF"/>
    <w:rsid w:val="003E1C27"/>
    <w:rsid w:val="003E24EA"/>
    <w:rsid w:val="003E2A6E"/>
    <w:rsid w:val="003E5651"/>
    <w:rsid w:val="003E7E18"/>
    <w:rsid w:val="003F0E5A"/>
    <w:rsid w:val="003F537E"/>
    <w:rsid w:val="003F7BD3"/>
    <w:rsid w:val="004016F7"/>
    <w:rsid w:val="0040270E"/>
    <w:rsid w:val="00404C80"/>
    <w:rsid w:val="00406F9A"/>
    <w:rsid w:val="00413672"/>
    <w:rsid w:val="00413D58"/>
    <w:rsid w:val="00421596"/>
    <w:rsid w:val="0042171C"/>
    <w:rsid w:val="004223D1"/>
    <w:rsid w:val="00424CF9"/>
    <w:rsid w:val="004325ED"/>
    <w:rsid w:val="00432935"/>
    <w:rsid w:val="00434A3D"/>
    <w:rsid w:val="004365AD"/>
    <w:rsid w:val="00437D77"/>
    <w:rsid w:val="00441F7C"/>
    <w:rsid w:val="00443D17"/>
    <w:rsid w:val="00444445"/>
    <w:rsid w:val="00444547"/>
    <w:rsid w:val="00445374"/>
    <w:rsid w:val="00445AB5"/>
    <w:rsid w:val="00446117"/>
    <w:rsid w:val="0044723B"/>
    <w:rsid w:val="00447574"/>
    <w:rsid w:val="004534DF"/>
    <w:rsid w:val="00453C6F"/>
    <w:rsid w:val="00454DA3"/>
    <w:rsid w:val="00455E77"/>
    <w:rsid w:val="004601A5"/>
    <w:rsid w:val="00462F71"/>
    <w:rsid w:val="0046402D"/>
    <w:rsid w:val="004652F1"/>
    <w:rsid w:val="004654EB"/>
    <w:rsid w:val="00466094"/>
    <w:rsid w:val="00466BCD"/>
    <w:rsid w:val="00470393"/>
    <w:rsid w:val="00470436"/>
    <w:rsid w:val="00472747"/>
    <w:rsid w:val="0047553B"/>
    <w:rsid w:val="00481C20"/>
    <w:rsid w:val="004850AF"/>
    <w:rsid w:val="00486AC5"/>
    <w:rsid w:val="004903F1"/>
    <w:rsid w:val="004909BD"/>
    <w:rsid w:val="00495782"/>
    <w:rsid w:val="00496A8E"/>
    <w:rsid w:val="004A0CC6"/>
    <w:rsid w:val="004A139A"/>
    <w:rsid w:val="004A1442"/>
    <w:rsid w:val="004A2BDB"/>
    <w:rsid w:val="004A5220"/>
    <w:rsid w:val="004A5EA1"/>
    <w:rsid w:val="004B12EA"/>
    <w:rsid w:val="004B2982"/>
    <w:rsid w:val="004B2ED0"/>
    <w:rsid w:val="004B45C7"/>
    <w:rsid w:val="004B5D11"/>
    <w:rsid w:val="004B73DB"/>
    <w:rsid w:val="004B7AF3"/>
    <w:rsid w:val="004C0BB6"/>
    <w:rsid w:val="004C4581"/>
    <w:rsid w:val="004D36FE"/>
    <w:rsid w:val="004D39A1"/>
    <w:rsid w:val="004D62ED"/>
    <w:rsid w:val="004D691B"/>
    <w:rsid w:val="004D6B58"/>
    <w:rsid w:val="004E4ED2"/>
    <w:rsid w:val="004E5784"/>
    <w:rsid w:val="004E6CFF"/>
    <w:rsid w:val="004E6D42"/>
    <w:rsid w:val="004F54E7"/>
    <w:rsid w:val="0050079A"/>
    <w:rsid w:val="00501828"/>
    <w:rsid w:val="0050657E"/>
    <w:rsid w:val="005111D8"/>
    <w:rsid w:val="0051198D"/>
    <w:rsid w:val="00517695"/>
    <w:rsid w:val="0052179B"/>
    <w:rsid w:val="005223CF"/>
    <w:rsid w:val="0052526B"/>
    <w:rsid w:val="00525C9A"/>
    <w:rsid w:val="00526065"/>
    <w:rsid w:val="00527EA2"/>
    <w:rsid w:val="00532240"/>
    <w:rsid w:val="00533B63"/>
    <w:rsid w:val="005340CF"/>
    <w:rsid w:val="0053573B"/>
    <w:rsid w:val="00535845"/>
    <w:rsid w:val="005370F1"/>
    <w:rsid w:val="005515B3"/>
    <w:rsid w:val="00553922"/>
    <w:rsid w:val="005550B2"/>
    <w:rsid w:val="0055609C"/>
    <w:rsid w:val="00556D74"/>
    <w:rsid w:val="00557565"/>
    <w:rsid w:val="00565291"/>
    <w:rsid w:val="005660C4"/>
    <w:rsid w:val="0056741A"/>
    <w:rsid w:val="005709A1"/>
    <w:rsid w:val="005727D5"/>
    <w:rsid w:val="005734FA"/>
    <w:rsid w:val="00573A9E"/>
    <w:rsid w:val="00573D22"/>
    <w:rsid w:val="0057698A"/>
    <w:rsid w:val="00582CD2"/>
    <w:rsid w:val="00584441"/>
    <w:rsid w:val="0058459D"/>
    <w:rsid w:val="005866B8"/>
    <w:rsid w:val="00587546"/>
    <w:rsid w:val="005A23F6"/>
    <w:rsid w:val="005A79B6"/>
    <w:rsid w:val="005B1D1B"/>
    <w:rsid w:val="005B3E48"/>
    <w:rsid w:val="005B5F23"/>
    <w:rsid w:val="005B64B3"/>
    <w:rsid w:val="005C48B1"/>
    <w:rsid w:val="005C56DE"/>
    <w:rsid w:val="005C660F"/>
    <w:rsid w:val="005D070B"/>
    <w:rsid w:val="005D0777"/>
    <w:rsid w:val="005D4900"/>
    <w:rsid w:val="005D5339"/>
    <w:rsid w:val="005D5B05"/>
    <w:rsid w:val="005E08FE"/>
    <w:rsid w:val="005E36A7"/>
    <w:rsid w:val="005E631B"/>
    <w:rsid w:val="005E6790"/>
    <w:rsid w:val="005F0C6A"/>
    <w:rsid w:val="005F297F"/>
    <w:rsid w:val="005F2BE1"/>
    <w:rsid w:val="005F3F14"/>
    <w:rsid w:val="005F4123"/>
    <w:rsid w:val="005F4BFB"/>
    <w:rsid w:val="005F7C70"/>
    <w:rsid w:val="00600CD3"/>
    <w:rsid w:val="00600FD3"/>
    <w:rsid w:val="006030AD"/>
    <w:rsid w:val="00604D5B"/>
    <w:rsid w:val="00605403"/>
    <w:rsid w:val="00610C20"/>
    <w:rsid w:val="00610E1E"/>
    <w:rsid w:val="00611A92"/>
    <w:rsid w:val="00611D25"/>
    <w:rsid w:val="00617E35"/>
    <w:rsid w:val="00620AD7"/>
    <w:rsid w:val="00623256"/>
    <w:rsid w:val="0062541E"/>
    <w:rsid w:val="00625AD2"/>
    <w:rsid w:val="00636206"/>
    <w:rsid w:val="006365A8"/>
    <w:rsid w:val="006403F0"/>
    <w:rsid w:val="00642BF5"/>
    <w:rsid w:val="00642C8B"/>
    <w:rsid w:val="00642F38"/>
    <w:rsid w:val="006435CF"/>
    <w:rsid w:val="00646BBE"/>
    <w:rsid w:val="00650665"/>
    <w:rsid w:val="00651A8D"/>
    <w:rsid w:val="006532D5"/>
    <w:rsid w:val="00665647"/>
    <w:rsid w:val="00671716"/>
    <w:rsid w:val="0067487F"/>
    <w:rsid w:val="00674D33"/>
    <w:rsid w:val="006774F4"/>
    <w:rsid w:val="00677B56"/>
    <w:rsid w:val="00681932"/>
    <w:rsid w:val="00682429"/>
    <w:rsid w:val="00682AB6"/>
    <w:rsid w:val="006908A8"/>
    <w:rsid w:val="006920B1"/>
    <w:rsid w:val="00692A28"/>
    <w:rsid w:val="00695907"/>
    <w:rsid w:val="006961E3"/>
    <w:rsid w:val="00697A20"/>
    <w:rsid w:val="006A0162"/>
    <w:rsid w:val="006A05A0"/>
    <w:rsid w:val="006A09F6"/>
    <w:rsid w:val="006A1061"/>
    <w:rsid w:val="006A70E8"/>
    <w:rsid w:val="006B2698"/>
    <w:rsid w:val="006B3F04"/>
    <w:rsid w:val="006B47F2"/>
    <w:rsid w:val="006B5368"/>
    <w:rsid w:val="006B70FE"/>
    <w:rsid w:val="006D073D"/>
    <w:rsid w:val="006D1AF2"/>
    <w:rsid w:val="006D2DE5"/>
    <w:rsid w:val="006D2EBA"/>
    <w:rsid w:val="006D695F"/>
    <w:rsid w:val="006E1841"/>
    <w:rsid w:val="006E347D"/>
    <w:rsid w:val="006E6264"/>
    <w:rsid w:val="006E6FA6"/>
    <w:rsid w:val="006F4EB0"/>
    <w:rsid w:val="007006F4"/>
    <w:rsid w:val="0070373F"/>
    <w:rsid w:val="00704C3B"/>
    <w:rsid w:val="0071131A"/>
    <w:rsid w:val="007167E4"/>
    <w:rsid w:val="0072128C"/>
    <w:rsid w:val="00727522"/>
    <w:rsid w:val="00730111"/>
    <w:rsid w:val="007308DB"/>
    <w:rsid w:val="00731833"/>
    <w:rsid w:val="00731FDC"/>
    <w:rsid w:val="00733179"/>
    <w:rsid w:val="00734170"/>
    <w:rsid w:val="00740965"/>
    <w:rsid w:val="00740E15"/>
    <w:rsid w:val="00741462"/>
    <w:rsid w:val="00741795"/>
    <w:rsid w:val="00743972"/>
    <w:rsid w:val="00743CDE"/>
    <w:rsid w:val="00743FD4"/>
    <w:rsid w:val="007456DB"/>
    <w:rsid w:val="007513F2"/>
    <w:rsid w:val="0075368A"/>
    <w:rsid w:val="007544BD"/>
    <w:rsid w:val="007556C8"/>
    <w:rsid w:val="00755B12"/>
    <w:rsid w:val="00762A28"/>
    <w:rsid w:val="00763CEC"/>
    <w:rsid w:val="00764A77"/>
    <w:rsid w:val="0076773D"/>
    <w:rsid w:val="007700CA"/>
    <w:rsid w:val="00771A55"/>
    <w:rsid w:val="00773C5E"/>
    <w:rsid w:val="00774014"/>
    <w:rsid w:val="00774C11"/>
    <w:rsid w:val="00774D3C"/>
    <w:rsid w:val="007772EA"/>
    <w:rsid w:val="007834BF"/>
    <w:rsid w:val="00783D95"/>
    <w:rsid w:val="0078694D"/>
    <w:rsid w:val="007926DC"/>
    <w:rsid w:val="00792F44"/>
    <w:rsid w:val="00793E53"/>
    <w:rsid w:val="0079783E"/>
    <w:rsid w:val="007A59CA"/>
    <w:rsid w:val="007A5AF3"/>
    <w:rsid w:val="007A6565"/>
    <w:rsid w:val="007B0644"/>
    <w:rsid w:val="007B53B9"/>
    <w:rsid w:val="007B6DB7"/>
    <w:rsid w:val="007C1D9B"/>
    <w:rsid w:val="007C4FE7"/>
    <w:rsid w:val="007D42F1"/>
    <w:rsid w:val="007D594A"/>
    <w:rsid w:val="007D634B"/>
    <w:rsid w:val="007D73AD"/>
    <w:rsid w:val="007E257D"/>
    <w:rsid w:val="007E6484"/>
    <w:rsid w:val="007F4E23"/>
    <w:rsid w:val="007F4EC1"/>
    <w:rsid w:val="007F5608"/>
    <w:rsid w:val="007F7A1F"/>
    <w:rsid w:val="007F7BB3"/>
    <w:rsid w:val="0080075D"/>
    <w:rsid w:val="00803D2C"/>
    <w:rsid w:val="00805065"/>
    <w:rsid w:val="00807907"/>
    <w:rsid w:val="00810725"/>
    <w:rsid w:val="00811805"/>
    <w:rsid w:val="00811ECD"/>
    <w:rsid w:val="00813362"/>
    <w:rsid w:val="008141CF"/>
    <w:rsid w:val="008159C3"/>
    <w:rsid w:val="00817746"/>
    <w:rsid w:val="008201E8"/>
    <w:rsid w:val="00825D8E"/>
    <w:rsid w:val="008271EE"/>
    <w:rsid w:val="00830879"/>
    <w:rsid w:val="00830D73"/>
    <w:rsid w:val="0083527C"/>
    <w:rsid w:val="00836413"/>
    <w:rsid w:val="0083662C"/>
    <w:rsid w:val="008369B2"/>
    <w:rsid w:val="008373C6"/>
    <w:rsid w:val="00837C2C"/>
    <w:rsid w:val="00841183"/>
    <w:rsid w:val="008413B7"/>
    <w:rsid w:val="00842DC1"/>
    <w:rsid w:val="00842F11"/>
    <w:rsid w:val="008459DD"/>
    <w:rsid w:val="0084630E"/>
    <w:rsid w:val="008463D6"/>
    <w:rsid w:val="00852C7D"/>
    <w:rsid w:val="00856596"/>
    <w:rsid w:val="008570F8"/>
    <w:rsid w:val="008609F3"/>
    <w:rsid w:val="00866F60"/>
    <w:rsid w:val="00870C82"/>
    <w:rsid w:val="00871D50"/>
    <w:rsid w:val="0087298A"/>
    <w:rsid w:val="008735AB"/>
    <w:rsid w:val="008771C7"/>
    <w:rsid w:val="00880684"/>
    <w:rsid w:val="00881D1D"/>
    <w:rsid w:val="0088387D"/>
    <w:rsid w:val="00884211"/>
    <w:rsid w:val="008862E1"/>
    <w:rsid w:val="008866D1"/>
    <w:rsid w:val="008877AD"/>
    <w:rsid w:val="00887FB1"/>
    <w:rsid w:val="00892D13"/>
    <w:rsid w:val="0089361D"/>
    <w:rsid w:val="00893D58"/>
    <w:rsid w:val="00894975"/>
    <w:rsid w:val="00895E0B"/>
    <w:rsid w:val="00896CF9"/>
    <w:rsid w:val="00896FAF"/>
    <w:rsid w:val="008A0016"/>
    <w:rsid w:val="008A0A34"/>
    <w:rsid w:val="008A0AC4"/>
    <w:rsid w:val="008A1048"/>
    <w:rsid w:val="008A2A1E"/>
    <w:rsid w:val="008A324F"/>
    <w:rsid w:val="008A694A"/>
    <w:rsid w:val="008A7DAC"/>
    <w:rsid w:val="008B0E8F"/>
    <w:rsid w:val="008B230F"/>
    <w:rsid w:val="008B67FB"/>
    <w:rsid w:val="008C02A0"/>
    <w:rsid w:val="008C18ED"/>
    <w:rsid w:val="008C2AEA"/>
    <w:rsid w:val="008C641C"/>
    <w:rsid w:val="008D36D4"/>
    <w:rsid w:val="008D4626"/>
    <w:rsid w:val="008D7A02"/>
    <w:rsid w:val="008D7F76"/>
    <w:rsid w:val="008E2885"/>
    <w:rsid w:val="008E60DC"/>
    <w:rsid w:val="008E7F36"/>
    <w:rsid w:val="008F1B25"/>
    <w:rsid w:val="008F28AB"/>
    <w:rsid w:val="008F2A4D"/>
    <w:rsid w:val="008F3A68"/>
    <w:rsid w:val="009029D2"/>
    <w:rsid w:val="00903AE9"/>
    <w:rsid w:val="00904BBB"/>
    <w:rsid w:val="0090500A"/>
    <w:rsid w:val="009133EC"/>
    <w:rsid w:val="00913EDD"/>
    <w:rsid w:val="00914705"/>
    <w:rsid w:val="00915CF3"/>
    <w:rsid w:val="00916AE3"/>
    <w:rsid w:val="00922E32"/>
    <w:rsid w:val="009241AF"/>
    <w:rsid w:val="009264BA"/>
    <w:rsid w:val="00926948"/>
    <w:rsid w:val="00930DAD"/>
    <w:rsid w:val="009311A2"/>
    <w:rsid w:val="00931306"/>
    <w:rsid w:val="009321FD"/>
    <w:rsid w:val="00934ACF"/>
    <w:rsid w:val="00935286"/>
    <w:rsid w:val="00942BD5"/>
    <w:rsid w:val="00945656"/>
    <w:rsid w:val="0094792C"/>
    <w:rsid w:val="00953CC4"/>
    <w:rsid w:val="00956ADF"/>
    <w:rsid w:val="00957E91"/>
    <w:rsid w:val="009661A1"/>
    <w:rsid w:val="00966A5E"/>
    <w:rsid w:val="00967C8D"/>
    <w:rsid w:val="009712CB"/>
    <w:rsid w:val="00974683"/>
    <w:rsid w:val="00980838"/>
    <w:rsid w:val="009826AA"/>
    <w:rsid w:val="00982975"/>
    <w:rsid w:val="009845D9"/>
    <w:rsid w:val="009857F2"/>
    <w:rsid w:val="00985B50"/>
    <w:rsid w:val="00985DA9"/>
    <w:rsid w:val="00986227"/>
    <w:rsid w:val="0098793D"/>
    <w:rsid w:val="00991ADB"/>
    <w:rsid w:val="00993026"/>
    <w:rsid w:val="009942D9"/>
    <w:rsid w:val="00995C5A"/>
    <w:rsid w:val="009960BD"/>
    <w:rsid w:val="009A7D3C"/>
    <w:rsid w:val="009B3D8D"/>
    <w:rsid w:val="009B4857"/>
    <w:rsid w:val="009B4B06"/>
    <w:rsid w:val="009B67D2"/>
    <w:rsid w:val="009C2132"/>
    <w:rsid w:val="009C59E0"/>
    <w:rsid w:val="009D0D77"/>
    <w:rsid w:val="009D2BC8"/>
    <w:rsid w:val="009D675F"/>
    <w:rsid w:val="009D6CA8"/>
    <w:rsid w:val="009E3464"/>
    <w:rsid w:val="009F0284"/>
    <w:rsid w:val="009F133D"/>
    <w:rsid w:val="009F2CDF"/>
    <w:rsid w:val="009F3201"/>
    <w:rsid w:val="009F52B0"/>
    <w:rsid w:val="009F5AC7"/>
    <w:rsid w:val="00A0372C"/>
    <w:rsid w:val="00A078DD"/>
    <w:rsid w:val="00A10497"/>
    <w:rsid w:val="00A1328F"/>
    <w:rsid w:val="00A1331E"/>
    <w:rsid w:val="00A15522"/>
    <w:rsid w:val="00A1619D"/>
    <w:rsid w:val="00A23861"/>
    <w:rsid w:val="00A26C36"/>
    <w:rsid w:val="00A35B55"/>
    <w:rsid w:val="00A416B4"/>
    <w:rsid w:val="00A45DAA"/>
    <w:rsid w:val="00A50891"/>
    <w:rsid w:val="00A51955"/>
    <w:rsid w:val="00A52B64"/>
    <w:rsid w:val="00A52F28"/>
    <w:rsid w:val="00A54240"/>
    <w:rsid w:val="00A54B2B"/>
    <w:rsid w:val="00A55EE0"/>
    <w:rsid w:val="00A57DC9"/>
    <w:rsid w:val="00A615EF"/>
    <w:rsid w:val="00A628E7"/>
    <w:rsid w:val="00A62A5C"/>
    <w:rsid w:val="00A63101"/>
    <w:rsid w:val="00A63D60"/>
    <w:rsid w:val="00A642DB"/>
    <w:rsid w:val="00A656E1"/>
    <w:rsid w:val="00A67F44"/>
    <w:rsid w:val="00A71D09"/>
    <w:rsid w:val="00A74477"/>
    <w:rsid w:val="00A7613C"/>
    <w:rsid w:val="00A80FE6"/>
    <w:rsid w:val="00A810F8"/>
    <w:rsid w:val="00A85F94"/>
    <w:rsid w:val="00A90780"/>
    <w:rsid w:val="00A928AB"/>
    <w:rsid w:val="00A935CA"/>
    <w:rsid w:val="00A965B4"/>
    <w:rsid w:val="00A96B2C"/>
    <w:rsid w:val="00A971F2"/>
    <w:rsid w:val="00AA367E"/>
    <w:rsid w:val="00AA3A27"/>
    <w:rsid w:val="00AA760A"/>
    <w:rsid w:val="00AB074C"/>
    <w:rsid w:val="00AB34F7"/>
    <w:rsid w:val="00AB6EC5"/>
    <w:rsid w:val="00AC0478"/>
    <w:rsid w:val="00AC145F"/>
    <w:rsid w:val="00AC4E17"/>
    <w:rsid w:val="00AD2090"/>
    <w:rsid w:val="00AD5CA2"/>
    <w:rsid w:val="00AD61D9"/>
    <w:rsid w:val="00AD7C69"/>
    <w:rsid w:val="00AE0454"/>
    <w:rsid w:val="00AE3970"/>
    <w:rsid w:val="00AE52A0"/>
    <w:rsid w:val="00AE7026"/>
    <w:rsid w:val="00AF00BC"/>
    <w:rsid w:val="00AF1AEC"/>
    <w:rsid w:val="00AF7776"/>
    <w:rsid w:val="00B0511F"/>
    <w:rsid w:val="00B13EA7"/>
    <w:rsid w:val="00B151FC"/>
    <w:rsid w:val="00B155A1"/>
    <w:rsid w:val="00B170A8"/>
    <w:rsid w:val="00B176EF"/>
    <w:rsid w:val="00B2105B"/>
    <w:rsid w:val="00B231E6"/>
    <w:rsid w:val="00B2383E"/>
    <w:rsid w:val="00B25298"/>
    <w:rsid w:val="00B2779A"/>
    <w:rsid w:val="00B31AD7"/>
    <w:rsid w:val="00B3331A"/>
    <w:rsid w:val="00B336CB"/>
    <w:rsid w:val="00B33867"/>
    <w:rsid w:val="00B35537"/>
    <w:rsid w:val="00B35C27"/>
    <w:rsid w:val="00B44CFD"/>
    <w:rsid w:val="00B45465"/>
    <w:rsid w:val="00B45698"/>
    <w:rsid w:val="00B478F5"/>
    <w:rsid w:val="00B5013F"/>
    <w:rsid w:val="00B50DB1"/>
    <w:rsid w:val="00B52E89"/>
    <w:rsid w:val="00B54032"/>
    <w:rsid w:val="00B55FAB"/>
    <w:rsid w:val="00B61264"/>
    <w:rsid w:val="00B637CF"/>
    <w:rsid w:val="00B63DD4"/>
    <w:rsid w:val="00B64AD2"/>
    <w:rsid w:val="00B671C8"/>
    <w:rsid w:val="00B67201"/>
    <w:rsid w:val="00B7009E"/>
    <w:rsid w:val="00B73154"/>
    <w:rsid w:val="00B7435A"/>
    <w:rsid w:val="00B74A73"/>
    <w:rsid w:val="00B75EFE"/>
    <w:rsid w:val="00B76282"/>
    <w:rsid w:val="00B76D90"/>
    <w:rsid w:val="00B828D4"/>
    <w:rsid w:val="00B853D1"/>
    <w:rsid w:val="00B86368"/>
    <w:rsid w:val="00B92FAE"/>
    <w:rsid w:val="00B93926"/>
    <w:rsid w:val="00B93B9E"/>
    <w:rsid w:val="00B93FF2"/>
    <w:rsid w:val="00B952A9"/>
    <w:rsid w:val="00B96268"/>
    <w:rsid w:val="00B97651"/>
    <w:rsid w:val="00BA1A9A"/>
    <w:rsid w:val="00BA2820"/>
    <w:rsid w:val="00BA2B99"/>
    <w:rsid w:val="00BA3312"/>
    <w:rsid w:val="00BA382D"/>
    <w:rsid w:val="00BA6540"/>
    <w:rsid w:val="00BA71FD"/>
    <w:rsid w:val="00BA7D40"/>
    <w:rsid w:val="00BB06D0"/>
    <w:rsid w:val="00BB2A20"/>
    <w:rsid w:val="00BB354F"/>
    <w:rsid w:val="00BC3258"/>
    <w:rsid w:val="00BC5469"/>
    <w:rsid w:val="00BC5AD0"/>
    <w:rsid w:val="00BC664D"/>
    <w:rsid w:val="00BC6798"/>
    <w:rsid w:val="00BC68D4"/>
    <w:rsid w:val="00BD2064"/>
    <w:rsid w:val="00BD2DFE"/>
    <w:rsid w:val="00BD3C16"/>
    <w:rsid w:val="00BD5139"/>
    <w:rsid w:val="00BD528C"/>
    <w:rsid w:val="00BD6E67"/>
    <w:rsid w:val="00BE11DE"/>
    <w:rsid w:val="00BE243D"/>
    <w:rsid w:val="00BE4A54"/>
    <w:rsid w:val="00BE77AD"/>
    <w:rsid w:val="00BE797E"/>
    <w:rsid w:val="00BF04A9"/>
    <w:rsid w:val="00BF2B99"/>
    <w:rsid w:val="00BF5904"/>
    <w:rsid w:val="00BF6196"/>
    <w:rsid w:val="00BF658C"/>
    <w:rsid w:val="00C020A8"/>
    <w:rsid w:val="00C02163"/>
    <w:rsid w:val="00C0245F"/>
    <w:rsid w:val="00C02D28"/>
    <w:rsid w:val="00C0798D"/>
    <w:rsid w:val="00C10083"/>
    <w:rsid w:val="00C16771"/>
    <w:rsid w:val="00C17820"/>
    <w:rsid w:val="00C219B1"/>
    <w:rsid w:val="00C21B40"/>
    <w:rsid w:val="00C23119"/>
    <w:rsid w:val="00C25489"/>
    <w:rsid w:val="00C25AD9"/>
    <w:rsid w:val="00C26900"/>
    <w:rsid w:val="00C27928"/>
    <w:rsid w:val="00C32032"/>
    <w:rsid w:val="00C328E3"/>
    <w:rsid w:val="00C32D25"/>
    <w:rsid w:val="00C42E90"/>
    <w:rsid w:val="00C4552A"/>
    <w:rsid w:val="00C46774"/>
    <w:rsid w:val="00C46B00"/>
    <w:rsid w:val="00C513E1"/>
    <w:rsid w:val="00C53BF0"/>
    <w:rsid w:val="00C56344"/>
    <w:rsid w:val="00C61B51"/>
    <w:rsid w:val="00C61DB0"/>
    <w:rsid w:val="00C6290F"/>
    <w:rsid w:val="00C67065"/>
    <w:rsid w:val="00C70FEE"/>
    <w:rsid w:val="00C74282"/>
    <w:rsid w:val="00C75579"/>
    <w:rsid w:val="00C80097"/>
    <w:rsid w:val="00C811C4"/>
    <w:rsid w:val="00C81ACE"/>
    <w:rsid w:val="00C81D18"/>
    <w:rsid w:val="00C83E44"/>
    <w:rsid w:val="00C85985"/>
    <w:rsid w:val="00C90488"/>
    <w:rsid w:val="00C918AA"/>
    <w:rsid w:val="00C9739C"/>
    <w:rsid w:val="00CA286C"/>
    <w:rsid w:val="00CA7D2D"/>
    <w:rsid w:val="00CB1B6F"/>
    <w:rsid w:val="00CB4336"/>
    <w:rsid w:val="00CC081E"/>
    <w:rsid w:val="00CC1438"/>
    <w:rsid w:val="00CC288C"/>
    <w:rsid w:val="00CC4D36"/>
    <w:rsid w:val="00CC6438"/>
    <w:rsid w:val="00CC6B6A"/>
    <w:rsid w:val="00CC6DD6"/>
    <w:rsid w:val="00CD30EC"/>
    <w:rsid w:val="00CD3120"/>
    <w:rsid w:val="00CD645E"/>
    <w:rsid w:val="00CD726D"/>
    <w:rsid w:val="00CE1F8B"/>
    <w:rsid w:val="00CE3BA7"/>
    <w:rsid w:val="00CE4D08"/>
    <w:rsid w:val="00CE5292"/>
    <w:rsid w:val="00CF0892"/>
    <w:rsid w:val="00CF391F"/>
    <w:rsid w:val="00CF5F2C"/>
    <w:rsid w:val="00D02181"/>
    <w:rsid w:val="00D04AEB"/>
    <w:rsid w:val="00D07246"/>
    <w:rsid w:val="00D07E3E"/>
    <w:rsid w:val="00D11F8A"/>
    <w:rsid w:val="00D13443"/>
    <w:rsid w:val="00D15993"/>
    <w:rsid w:val="00D1601E"/>
    <w:rsid w:val="00D20BB9"/>
    <w:rsid w:val="00D20DA5"/>
    <w:rsid w:val="00D220BB"/>
    <w:rsid w:val="00D24F33"/>
    <w:rsid w:val="00D25B9E"/>
    <w:rsid w:val="00D33227"/>
    <w:rsid w:val="00D34520"/>
    <w:rsid w:val="00D36265"/>
    <w:rsid w:val="00D37429"/>
    <w:rsid w:val="00D43C57"/>
    <w:rsid w:val="00D4448A"/>
    <w:rsid w:val="00D44B92"/>
    <w:rsid w:val="00D46335"/>
    <w:rsid w:val="00D50B26"/>
    <w:rsid w:val="00D51452"/>
    <w:rsid w:val="00D5526A"/>
    <w:rsid w:val="00D5746E"/>
    <w:rsid w:val="00D60155"/>
    <w:rsid w:val="00D6235A"/>
    <w:rsid w:val="00D62C14"/>
    <w:rsid w:val="00D62CFB"/>
    <w:rsid w:val="00D634AB"/>
    <w:rsid w:val="00D6411B"/>
    <w:rsid w:val="00D65F1E"/>
    <w:rsid w:val="00D7445A"/>
    <w:rsid w:val="00D77880"/>
    <w:rsid w:val="00D86FA4"/>
    <w:rsid w:val="00D87983"/>
    <w:rsid w:val="00D9131F"/>
    <w:rsid w:val="00D9375B"/>
    <w:rsid w:val="00D955FF"/>
    <w:rsid w:val="00D97E3A"/>
    <w:rsid w:val="00D97FB4"/>
    <w:rsid w:val="00DA43DD"/>
    <w:rsid w:val="00DA44B4"/>
    <w:rsid w:val="00DA4CC0"/>
    <w:rsid w:val="00DA512C"/>
    <w:rsid w:val="00DA5B5A"/>
    <w:rsid w:val="00DA5B8C"/>
    <w:rsid w:val="00DB16D7"/>
    <w:rsid w:val="00DB1978"/>
    <w:rsid w:val="00DB32E3"/>
    <w:rsid w:val="00DB38B9"/>
    <w:rsid w:val="00DB538D"/>
    <w:rsid w:val="00DB621B"/>
    <w:rsid w:val="00DB6AFB"/>
    <w:rsid w:val="00DC320D"/>
    <w:rsid w:val="00DC3A7C"/>
    <w:rsid w:val="00DC4460"/>
    <w:rsid w:val="00DC5405"/>
    <w:rsid w:val="00DD545A"/>
    <w:rsid w:val="00DD55D5"/>
    <w:rsid w:val="00DD5F75"/>
    <w:rsid w:val="00DD7391"/>
    <w:rsid w:val="00DD7B3A"/>
    <w:rsid w:val="00DE0001"/>
    <w:rsid w:val="00DE14D9"/>
    <w:rsid w:val="00DE54BA"/>
    <w:rsid w:val="00DE6FAD"/>
    <w:rsid w:val="00DF0B64"/>
    <w:rsid w:val="00E011B8"/>
    <w:rsid w:val="00E05B39"/>
    <w:rsid w:val="00E06A5C"/>
    <w:rsid w:val="00E10096"/>
    <w:rsid w:val="00E11241"/>
    <w:rsid w:val="00E113E4"/>
    <w:rsid w:val="00E16F0A"/>
    <w:rsid w:val="00E20657"/>
    <w:rsid w:val="00E20E7F"/>
    <w:rsid w:val="00E20F68"/>
    <w:rsid w:val="00E21080"/>
    <w:rsid w:val="00E211CA"/>
    <w:rsid w:val="00E23188"/>
    <w:rsid w:val="00E24A13"/>
    <w:rsid w:val="00E24B10"/>
    <w:rsid w:val="00E2653C"/>
    <w:rsid w:val="00E26696"/>
    <w:rsid w:val="00E303A0"/>
    <w:rsid w:val="00E304BB"/>
    <w:rsid w:val="00E3123C"/>
    <w:rsid w:val="00E358DF"/>
    <w:rsid w:val="00E35FB7"/>
    <w:rsid w:val="00E421CB"/>
    <w:rsid w:val="00E439C3"/>
    <w:rsid w:val="00E44961"/>
    <w:rsid w:val="00E453BE"/>
    <w:rsid w:val="00E474A1"/>
    <w:rsid w:val="00E47866"/>
    <w:rsid w:val="00E50D4F"/>
    <w:rsid w:val="00E53217"/>
    <w:rsid w:val="00E57889"/>
    <w:rsid w:val="00E65211"/>
    <w:rsid w:val="00E702F3"/>
    <w:rsid w:val="00E71997"/>
    <w:rsid w:val="00E73B14"/>
    <w:rsid w:val="00E75FCA"/>
    <w:rsid w:val="00E766F8"/>
    <w:rsid w:val="00E8099E"/>
    <w:rsid w:val="00E81922"/>
    <w:rsid w:val="00E82560"/>
    <w:rsid w:val="00E8317C"/>
    <w:rsid w:val="00E832F1"/>
    <w:rsid w:val="00E83B4D"/>
    <w:rsid w:val="00E84116"/>
    <w:rsid w:val="00E84988"/>
    <w:rsid w:val="00E86597"/>
    <w:rsid w:val="00E90A6F"/>
    <w:rsid w:val="00E938AA"/>
    <w:rsid w:val="00E94D78"/>
    <w:rsid w:val="00E9547E"/>
    <w:rsid w:val="00EA1A33"/>
    <w:rsid w:val="00EA2603"/>
    <w:rsid w:val="00EA315D"/>
    <w:rsid w:val="00EA41A5"/>
    <w:rsid w:val="00EB1C1F"/>
    <w:rsid w:val="00EB4CB8"/>
    <w:rsid w:val="00EB53BD"/>
    <w:rsid w:val="00EB7A8F"/>
    <w:rsid w:val="00EC1DCA"/>
    <w:rsid w:val="00ED0DDA"/>
    <w:rsid w:val="00ED1958"/>
    <w:rsid w:val="00ED3FB3"/>
    <w:rsid w:val="00ED5A6D"/>
    <w:rsid w:val="00EE3152"/>
    <w:rsid w:val="00EE5318"/>
    <w:rsid w:val="00EE6602"/>
    <w:rsid w:val="00EF00C2"/>
    <w:rsid w:val="00EF3C8D"/>
    <w:rsid w:val="00EF6B96"/>
    <w:rsid w:val="00EF733D"/>
    <w:rsid w:val="00F02D18"/>
    <w:rsid w:val="00F051BC"/>
    <w:rsid w:val="00F067D2"/>
    <w:rsid w:val="00F11735"/>
    <w:rsid w:val="00F1186D"/>
    <w:rsid w:val="00F1382A"/>
    <w:rsid w:val="00F163A3"/>
    <w:rsid w:val="00F226E3"/>
    <w:rsid w:val="00F25978"/>
    <w:rsid w:val="00F267A1"/>
    <w:rsid w:val="00F27B49"/>
    <w:rsid w:val="00F309CD"/>
    <w:rsid w:val="00F3156F"/>
    <w:rsid w:val="00F31E64"/>
    <w:rsid w:val="00F334B2"/>
    <w:rsid w:val="00F33616"/>
    <w:rsid w:val="00F342E0"/>
    <w:rsid w:val="00F34CCE"/>
    <w:rsid w:val="00F3587C"/>
    <w:rsid w:val="00F35BDE"/>
    <w:rsid w:val="00F367DF"/>
    <w:rsid w:val="00F42875"/>
    <w:rsid w:val="00F44A92"/>
    <w:rsid w:val="00F44ED6"/>
    <w:rsid w:val="00F51DD7"/>
    <w:rsid w:val="00F5334E"/>
    <w:rsid w:val="00F5379F"/>
    <w:rsid w:val="00F55AF4"/>
    <w:rsid w:val="00F566B9"/>
    <w:rsid w:val="00F60BDA"/>
    <w:rsid w:val="00F63036"/>
    <w:rsid w:val="00F658A3"/>
    <w:rsid w:val="00F715FA"/>
    <w:rsid w:val="00F72B44"/>
    <w:rsid w:val="00F735F0"/>
    <w:rsid w:val="00F73DC3"/>
    <w:rsid w:val="00F74A1D"/>
    <w:rsid w:val="00F760E2"/>
    <w:rsid w:val="00F808B0"/>
    <w:rsid w:val="00F8146C"/>
    <w:rsid w:val="00F87425"/>
    <w:rsid w:val="00F87ADD"/>
    <w:rsid w:val="00F87D0C"/>
    <w:rsid w:val="00F912BD"/>
    <w:rsid w:val="00F93F55"/>
    <w:rsid w:val="00F979AA"/>
    <w:rsid w:val="00FA0126"/>
    <w:rsid w:val="00FA1069"/>
    <w:rsid w:val="00FB0BB8"/>
    <w:rsid w:val="00FB3520"/>
    <w:rsid w:val="00FB353C"/>
    <w:rsid w:val="00FB3542"/>
    <w:rsid w:val="00FB74F8"/>
    <w:rsid w:val="00FC0A23"/>
    <w:rsid w:val="00FC4B0B"/>
    <w:rsid w:val="00FC6C0A"/>
    <w:rsid w:val="00FC6E3B"/>
    <w:rsid w:val="00FD77EE"/>
    <w:rsid w:val="00FD7F88"/>
    <w:rsid w:val="00FE070A"/>
    <w:rsid w:val="00FE7D42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7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47D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47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7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8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7A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D514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51452"/>
    <w:rPr>
      <w:rFonts w:cs="Times New Roman"/>
      <w:sz w:val="16"/>
      <w:szCs w:val="16"/>
    </w:rPr>
  </w:style>
  <w:style w:type="character" w:styleId="a8">
    <w:name w:val="Strong"/>
    <w:basedOn w:val="a0"/>
    <w:uiPriority w:val="22"/>
    <w:qFormat/>
    <w:rsid w:val="00D51452"/>
    <w:rPr>
      <w:rFonts w:cs="Times New Roman"/>
      <w:b/>
    </w:rPr>
  </w:style>
  <w:style w:type="character" w:styleId="a9">
    <w:name w:val="Emphasis"/>
    <w:basedOn w:val="a0"/>
    <w:qFormat/>
    <w:locked/>
    <w:rsid w:val="00525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%20&#1075;&#1083;&#1072;&#1074;&#1099;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%20&#1075;&#1083;&#1072;&#1074;&#1099;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  <c:numCache>
                <c:formatCode>#,##0.00\ _₽</c:formatCode>
                <c:ptCount val="11"/>
                <c:pt idx="0">
                  <c:v>440000</c:v>
                </c:pt>
                <c:pt idx="1">
                  <c:v>432500</c:v>
                </c:pt>
                <c:pt idx="2">
                  <c:v>30912</c:v>
                </c:pt>
                <c:pt idx="3">
                  <c:v>244781.03</c:v>
                </c:pt>
                <c:pt idx="4">
                  <c:v>203197.79</c:v>
                </c:pt>
                <c:pt idx="5">
                  <c:v>162666.38999999975</c:v>
                </c:pt>
                <c:pt idx="6">
                  <c:v>4123157.9099999997</c:v>
                </c:pt>
                <c:pt idx="7">
                  <c:v>1045224.3400000004</c:v>
                </c:pt>
                <c:pt idx="8">
                  <c:v>7285647.6099999994</c:v>
                </c:pt>
                <c:pt idx="9">
                  <c:v>28055186</c:v>
                </c:pt>
                <c:pt idx="10">
                  <c:v>3357285.42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  <c:numCache>
                <c:formatCode>#,##0.00\ _₽</c:formatCode>
                <c:ptCount val="11"/>
                <c:pt idx="0">
                  <c:v>123490</c:v>
                </c:pt>
                <c:pt idx="1">
                  <c:v>440791.46</c:v>
                </c:pt>
                <c:pt idx="2">
                  <c:v>20100</c:v>
                </c:pt>
                <c:pt idx="3">
                  <c:v>191194.77000000011</c:v>
                </c:pt>
                <c:pt idx="4">
                  <c:v>238143.33</c:v>
                </c:pt>
                <c:pt idx="5">
                  <c:v>189967.73</c:v>
                </c:pt>
                <c:pt idx="6">
                  <c:v>4841163.9400000004</c:v>
                </c:pt>
                <c:pt idx="7">
                  <c:v>809399.25</c:v>
                </c:pt>
                <c:pt idx="8">
                  <c:v>19114948.739999998</c:v>
                </c:pt>
                <c:pt idx="9">
                  <c:v>28188600</c:v>
                </c:pt>
                <c:pt idx="10">
                  <c:v>3615689.4099999997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0.96957819524622557</c:v>
                </c:pt>
                <c:pt idx="1">
                  <c:v>0.95305129419089374</c:v>
                </c:pt>
                <c:pt idx="2">
                  <c:v>6.8117275389662127E-2</c:v>
                </c:pt>
                <c:pt idx="3">
                  <c:v>0.53939624840434608</c:v>
                </c:pt>
                <c:pt idx="4">
                  <c:v>0.44776396933232221</c:v>
                </c:pt>
                <c:pt idx="5">
                  <c:v>0.35844951100777034</c:v>
                </c:pt>
                <c:pt idx="6">
                  <c:v>9.0857363752113809</c:v>
                </c:pt>
                <c:pt idx="7">
                  <c:v>2.3032425663741538</c:v>
                </c:pt>
                <c:pt idx="8">
                  <c:v>16.054556956599505</c:v>
                </c:pt>
                <c:pt idx="9">
                  <c:v>61.822037748130036</c:v>
                </c:pt>
                <c:pt idx="10">
                  <c:v>7.3980698601137895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0.21374855998548023</c:v>
                </c:pt>
                <c:pt idx="1">
                  <c:v>0.76296493504654062</c:v>
                </c:pt>
                <c:pt idx="2">
                  <c:v>3.4791044260330001E-2</c:v>
                </c:pt>
                <c:pt idx="3">
                  <c:v>0.33093859230913536</c:v>
                </c:pt>
                <c:pt idx="4">
                  <c:v>0.41220174797673459</c:v>
                </c:pt>
                <c:pt idx="5">
                  <c:v>0.32881471156539438</c:v>
                </c:pt>
                <c:pt idx="6">
                  <c:v>8.3795596471668592</c:v>
                </c:pt>
                <c:pt idx="7">
                  <c:v>1.4009873199516361</c:v>
                </c:pt>
                <c:pt idx="8">
                  <c:v>33.086021275983995</c:v>
                </c:pt>
                <c:pt idx="9">
                  <c:v>48.791583593867479</c:v>
                </c:pt>
                <c:pt idx="10">
                  <c:v>6.2583885718863845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209088"/>
        <c:axId val="43210624"/>
      </c:barChart>
      <c:catAx>
        <c:axId val="4320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43210624"/>
        <c:crosses val="autoZero"/>
        <c:auto val="1"/>
        <c:lblAlgn val="ctr"/>
        <c:lblOffset val="100"/>
        <c:noMultiLvlLbl val="0"/>
      </c:catAx>
      <c:valAx>
        <c:axId val="43210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20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Лист2!$B$1:$B$10</c:f>
              <c:numCache>
                <c:formatCode>#,##0.00\ _₽</c:formatCode>
                <c:ptCount val="10"/>
                <c:pt idx="0">
                  <c:v>14257079.15</c:v>
                </c:pt>
                <c:pt idx="1">
                  <c:v>393800</c:v>
                </c:pt>
                <c:pt idx="2">
                  <c:v>143320</c:v>
                </c:pt>
                <c:pt idx="3">
                  <c:v>5092190.95</c:v>
                </c:pt>
                <c:pt idx="4">
                  <c:v>12237602.869999999</c:v>
                </c:pt>
                <c:pt idx="5">
                  <c:v>1601.46</c:v>
                </c:pt>
                <c:pt idx="6">
                  <c:v>208510.96</c:v>
                </c:pt>
                <c:pt idx="7">
                  <c:v>24450575.760000002</c:v>
                </c:pt>
                <c:pt idx="8">
                  <c:v>360000</c:v>
                </c:pt>
                <c:pt idx="9">
                  <c:v>16023.28</c:v>
                </c:pt>
              </c:numCache>
            </c:numRef>
          </c:val>
        </c:ser>
        <c:ser>
          <c:idx val="1"/>
          <c:order val="1"/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Лист2!$C$1:$C$10</c:f>
              <c:numCache>
                <c:formatCode>0.00</c:formatCode>
                <c:ptCount val="10"/>
                <c:pt idx="0">
                  <c:v>24.942098408635722</c:v>
                </c:pt>
                <c:pt idx="1">
                  <c:v>0.6889348266906945</c:v>
                </c:pt>
                <c:pt idx="2">
                  <c:v>0.25073168959195063</c:v>
                </c:pt>
                <c:pt idx="3">
                  <c:v>8.9085517765722884</c:v>
                </c:pt>
                <c:pt idx="4">
                  <c:v>21.409118365548455</c:v>
                </c:pt>
                <c:pt idx="6">
                  <c:v>0.36478024908763396</c:v>
                </c:pt>
                <c:pt idx="7">
                  <c:v>42.775147723979948</c:v>
                </c:pt>
                <c:pt idx="8">
                  <c:v>0.62980329509560584</c:v>
                </c:pt>
                <c:pt idx="9">
                  <c:v>2.8031984839554231E-2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D80A-A231-4A46-8A10-F93406D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Бухглатер</dc:creator>
  <cp:lastModifiedBy>ZamGlav</cp:lastModifiedBy>
  <cp:revision>47</cp:revision>
  <cp:lastPrinted>2017-02-16T10:52:00Z</cp:lastPrinted>
  <dcterms:created xsi:type="dcterms:W3CDTF">2016-02-24T05:11:00Z</dcterms:created>
  <dcterms:modified xsi:type="dcterms:W3CDTF">2019-04-17T04:24:00Z</dcterms:modified>
</cp:coreProperties>
</file>