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6F" w:rsidRPr="00D54985" w:rsidRDefault="00CB1B6F" w:rsidP="00117D77">
      <w:pPr>
        <w:spacing w:after="0" w:line="240" w:lineRule="auto"/>
        <w:ind w:firstLine="426"/>
        <w:jc w:val="center"/>
        <w:rPr>
          <w:rFonts w:ascii="Times New Roman" w:hAnsi="Times New Roman"/>
          <w:sz w:val="28"/>
          <w:szCs w:val="28"/>
        </w:rPr>
      </w:pPr>
      <w:r w:rsidRPr="00D54985">
        <w:rPr>
          <w:rFonts w:ascii="Times New Roman" w:hAnsi="Times New Roman"/>
          <w:sz w:val="28"/>
          <w:szCs w:val="28"/>
        </w:rPr>
        <w:tab/>
        <w:t>Пояснительная записка к отчету об исполнении бюджета сельского поселения Мулымья за 201</w:t>
      </w:r>
      <w:r w:rsidR="00117D77">
        <w:rPr>
          <w:rFonts w:ascii="Times New Roman" w:hAnsi="Times New Roman"/>
          <w:sz w:val="28"/>
          <w:szCs w:val="28"/>
        </w:rPr>
        <w:t>9</w:t>
      </w:r>
      <w:r w:rsidRPr="00D54985">
        <w:rPr>
          <w:rFonts w:ascii="Times New Roman" w:hAnsi="Times New Roman"/>
          <w:sz w:val="28"/>
          <w:szCs w:val="28"/>
        </w:rPr>
        <w:t xml:space="preserve"> год</w:t>
      </w:r>
      <w:r w:rsidR="007700CA" w:rsidRPr="00D54985">
        <w:rPr>
          <w:rFonts w:ascii="Times New Roman" w:hAnsi="Times New Roman"/>
          <w:sz w:val="28"/>
          <w:szCs w:val="28"/>
        </w:rPr>
        <w:t>.</w:t>
      </w:r>
    </w:p>
    <w:p w:rsidR="00A642DB" w:rsidRPr="00D54985" w:rsidRDefault="00A642DB" w:rsidP="00117D77">
      <w:pPr>
        <w:spacing w:after="0" w:line="240" w:lineRule="auto"/>
        <w:ind w:firstLine="426"/>
        <w:jc w:val="center"/>
        <w:rPr>
          <w:rFonts w:ascii="Times New Roman" w:hAnsi="Times New Roman"/>
          <w:sz w:val="28"/>
          <w:szCs w:val="28"/>
        </w:rPr>
      </w:pPr>
    </w:p>
    <w:p w:rsidR="00D54985" w:rsidRPr="00D54985" w:rsidRDefault="00D54985" w:rsidP="00117D77">
      <w:pPr>
        <w:pStyle w:val="a3"/>
        <w:ind w:firstLine="709"/>
        <w:jc w:val="both"/>
        <w:rPr>
          <w:szCs w:val="28"/>
        </w:rPr>
      </w:pPr>
      <w:r w:rsidRPr="00D54985">
        <w:rPr>
          <w:szCs w:val="28"/>
        </w:rPr>
        <w:t xml:space="preserve">Бюджет сельского поселения Мулымья на 2019 год по доходам, с учетом внесенных изменений, утвержден в размере </w:t>
      </w:r>
      <w:r w:rsidRPr="00D54985">
        <w:rPr>
          <w:rStyle w:val="a9"/>
          <w:szCs w:val="28"/>
        </w:rPr>
        <w:t>67 010 372,25</w:t>
      </w:r>
      <w:r w:rsidRPr="00D54985">
        <w:rPr>
          <w:szCs w:val="28"/>
        </w:rPr>
        <w:t xml:space="preserve"> руб., что составляет 115,1 %по отношению к бюджету 2018 года (</w:t>
      </w:r>
      <w:r w:rsidRPr="00D54985">
        <w:rPr>
          <w:rStyle w:val="a9"/>
          <w:szCs w:val="28"/>
        </w:rPr>
        <w:t>58 174 034,30</w:t>
      </w:r>
      <w:r w:rsidRPr="00D54985">
        <w:rPr>
          <w:szCs w:val="28"/>
        </w:rPr>
        <w:t xml:space="preserve"> руб.). По расходам бюджет поселения утвержден в размере </w:t>
      </w:r>
      <w:r w:rsidRPr="00D54985">
        <w:rPr>
          <w:rStyle w:val="a9"/>
          <w:szCs w:val="28"/>
        </w:rPr>
        <w:t>67 836 153,43</w:t>
      </w:r>
      <w:r w:rsidRPr="00D54985">
        <w:rPr>
          <w:szCs w:val="28"/>
        </w:rPr>
        <w:t xml:space="preserve"> руб., что составило 116,18 % по отношению к бюджету 2018 года (</w:t>
      </w:r>
      <w:r w:rsidRPr="00D54985">
        <w:rPr>
          <w:rStyle w:val="a9"/>
          <w:szCs w:val="28"/>
        </w:rPr>
        <w:t>58 387 031,28</w:t>
      </w:r>
      <w:r w:rsidRPr="00D54985">
        <w:rPr>
          <w:szCs w:val="28"/>
        </w:rPr>
        <w:t xml:space="preserve"> руб.).</w:t>
      </w:r>
    </w:p>
    <w:p w:rsidR="00D54985" w:rsidRPr="00D54985" w:rsidRDefault="00D54985" w:rsidP="00117D77">
      <w:pPr>
        <w:pStyle w:val="a3"/>
        <w:ind w:firstLine="709"/>
        <w:jc w:val="both"/>
        <w:rPr>
          <w:szCs w:val="28"/>
        </w:rPr>
      </w:pPr>
      <w:r w:rsidRPr="00D54985">
        <w:rPr>
          <w:szCs w:val="28"/>
        </w:rPr>
        <w:t xml:space="preserve">Налоговые доходы. Исполнение, по налоговым доходам повысилось по сравнению с 2018 годом (9 076 159,18 руб.) и составило 11 001 012,73 руб., т.е. 121,20%. </w:t>
      </w:r>
    </w:p>
    <w:p w:rsidR="00D54985" w:rsidRPr="00D54985" w:rsidRDefault="00D54985" w:rsidP="00117D77">
      <w:pPr>
        <w:pStyle w:val="a3"/>
        <w:ind w:firstLine="709"/>
        <w:jc w:val="both"/>
        <w:rPr>
          <w:szCs w:val="28"/>
        </w:rPr>
      </w:pPr>
      <w:r w:rsidRPr="00D54985">
        <w:rPr>
          <w:szCs w:val="28"/>
        </w:rPr>
        <w:t>Повышение поступления налога на доходы физических лиц с 4 841 163,94 до 6 097 261,50 рублей, что составляет 125,94% от исполнения 2018 года</w:t>
      </w:r>
      <w:r w:rsidRPr="00D54985">
        <w:rPr>
          <w:color w:val="C00000"/>
          <w:szCs w:val="28"/>
        </w:rPr>
        <w:t xml:space="preserve">. </w:t>
      </w:r>
      <w:r w:rsidRPr="00D54985">
        <w:rPr>
          <w:szCs w:val="28"/>
        </w:rPr>
        <w:t>Поступление от налогов на совокупный доход понизилось с 189 967,73 до 168 148,18 рублей. Поступления по земельному налогу повысилось на 26 912,92 рублей с 191 194,77 до 218 107,69 тыс. рублей, по налогу на имущество физических лиц поступления увеличилось на 147 124,07 рублей (с 238 143,33 до 385 267,40 тыс. рублей). Поступления по государственной пошлине повысилось на 1 480 тыс. рублей с 20 100,0 до 21 580,0 рублей, что составило 107,36%.</w:t>
      </w:r>
    </w:p>
    <w:p w:rsidR="00D54985" w:rsidRPr="00D54985" w:rsidRDefault="00D54985" w:rsidP="00117D77">
      <w:pPr>
        <w:pStyle w:val="a3"/>
        <w:ind w:firstLine="709"/>
        <w:jc w:val="both"/>
        <w:rPr>
          <w:szCs w:val="28"/>
        </w:rPr>
      </w:pPr>
      <w:r w:rsidRPr="00D54985">
        <w:rPr>
          <w:szCs w:val="28"/>
        </w:rPr>
        <w:t>Неналоговые доходы. Поступления неналоговых доходов в 2019 составили 952 940,06 рублей, что составляет 114,88 % от исполнения 2018 г (829 499,25 рублей).</w:t>
      </w:r>
      <w:r w:rsidRPr="00D54985">
        <w:rPr>
          <w:color w:val="C00000"/>
          <w:szCs w:val="28"/>
        </w:rPr>
        <w:t xml:space="preserve"> </w:t>
      </w:r>
      <w:proofErr w:type="gramStart"/>
      <w:r w:rsidRPr="00D54985">
        <w:rPr>
          <w:szCs w:val="28"/>
        </w:rPr>
        <w:t>В том числе 382 865,12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платой за сдачу техники (грейдер, мусоровоз) и площадей муниципальной собственности (почта, Югон - Газ).</w:t>
      </w:r>
      <w:proofErr w:type="gramEnd"/>
    </w:p>
    <w:p w:rsidR="00D54985" w:rsidRPr="00D54985" w:rsidRDefault="00D54985" w:rsidP="00D54985">
      <w:pPr>
        <w:pStyle w:val="a3"/>
        <w:ind w:firstLine="709"/>
        <w:jc w:val="both"/>
        <w:rPr>
          <w:color w:val="C00000"/>
          <w:szCs w:val="28"/>
        </w:rPr>
      </w:pPr>
    </w:p>
    <w:p w:rsidR="00D54985" w:rsidRPr="00D54985" w:rsidRDefault="00D54985" w:rsidP="00D54985">
      <w:pPr>
        <w:pStyle w:val="a3"/>
        <w:spacing w:line="360" w:lineRule="auto"/>
        <w:ind w:firstLine="709"/>
        <w:jc w:val="both"/>
        <w:rPr>
          <w:b/>
          <w:szCs w:val="28"/>
        </w:rPr>
      </w:pPr>
      <w:r w:rsidRPr="00D54985">
        <w:rPr>
          <w:b/>
          <w:szCs w:val="28"/>
        </w:rPr>
        <w:t>Долевая структура исполнения доходной части бюджета за 2019г.%</w:t>
      </w:r>
    </w:p>
    <w:p w:rsidR="00D54985" w:rsidRPr="00D54985" w:rsidRDefault="00D54985" w:rsidP="00D54985">
      <w:pPr>
        <w:pStyle w:val="a3"/>
        <w:spacing w:line="360" w:lineRule="auto"/>
        <w:jc w:val="both"/>
        <w:rPr>
          <w:b/>
          <w:szCs w:val="28"/>
        </w:rPr>
      </w:pPr>
      <w:r w:rsidRPr="00D54985">
        <w:rPr>
          <w:b/>
          <w:noProof/>
          <w:szCs w:val="28"/>
        </w:rPr>
        <w:lastRenderedPageBreak/>
        <w:drawing>
          <wp:inline distT="0" distB="0" distL="0" distR="0">
            <wp:extent cx="5940425" cy="3824582"/>
            <wp:effectExtent l="19050" t="0" r="22225" b="4468"/>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4985" w:rsidRPr="00D54985" w:rsidRDefault="00D54985" w:rsidP="00D54985">
      <w:pPr>
        <w:pStyle w:val="a3"/>
        <w:spacing w:line="360" w:lineRule="auto"/>
        <w:jc w:val="both"/>
        <w:rPr>
          <w:b/>
          <w:color w:val="C00000"/>
          <w:szCs w:val="28"/>
        </w:rPr>
      </w:pPr>
    </w:p>
    <w:p w:rsidR="00D54985" w:rsidRPr="00D54985" w:rsidRDefault="00D54985" w:rsidP="00117D77">
      <w:pPr>
        <w:shd w:val="clear" w:color="auto" w:fill="FFFFFF"/>
        <w:spacing w:after="0" w:line="240" w:lineRule="auto"/>
        <w:ind w:firstLine="709"/>
        <w:jc w:val="center"/>
        <w:rPr>
          <w:rFonts w:ascii="Times New Roman" w:hAnsi="Times New Roman"/>
          <w:b/>
          <w:bCs/>
          <w:sz w:val="28"/>
          <w:szCs w:val="28"/>
        </w:rPr>
      </w:pPr>
      <w:r w:rsidRPr="00D54985">
        <w:rPr>
          <w:rFonts w:ascii="Times New Roman" w:hAnsi="Times New Roman"/>
          <w:b/>
          <w:bCs/>
          <w:sz w:val="28"/>
          <w:szCs w:val="28"/>
        </w:rPr>
        <w:t>Анализ исполнения расходной части бюджета за 2019 год</w:t>
      </w:r>
    </w:p>
    <w:p w:rsidR="00D54985" w:rsidRPr="00D54985" w:rsidRDefault="00D54985" w:rsidP="00117D77">
      <w:pPr>
        <w:spacing w:after="0" w:line="240" w:lineRule="auto"/>
        <w:ind w:firstLine="709"/>
        <w:jc w:val="both"/>
        <w:rPr>
          <w:rFonts w:ascii="Times New Roman" w:hAnsi="Times New Roman"/>
          <w:sz w:val="28"/>
          <w:szCs w:val="28"/>
        </w:rPr>
      </w:pPr>
      <w:r w:rsidRPr="00D54985">
        <w:rPr>
          <w:rFonts w:ascii="Times New Roman" w:hAnsi="Times New Roman"/>
          <w:sz w:val="28"/>
          <w:szCs w:val="28"/>
        </w:rPr>
        <w:t>Расходная часть бюджета на 2019 год утверждена в сумме 67 836 153,43 рублей, фактическое исполнение за 2019 год составило 58 716 692,76 рублей или 86,55 % от уточненного плана.</w:t>
      </w:r>
    </w:p>
    <w:p w:rsidR="00D54985" w:rsidRPr="00D54985" w:rsidRDefault="00D54985" w:rsidP="00D54985">
      <w:pPr>
        <w:ind w:right="339"/>
        <w:jc w:val="both"/>
        <w:rPr>
          <w:rFonts w:ascii="Times New Roman" w:hAnsi="Times New Roman"/>
          <w:b/>
          <w:bCs/>
          <w:color w:val="C00000"/>
          <w:sz w:val="28"/>
          <w:szCs w:val="28"/>
        </w:rPr>
      </w:pPr>
      <w:r w:rsidRPr="00D54985">
        <w:rPr>
          <w:rFonts w:ascii="Times New Roman" w:hAnsi="Times New Roman"/>
          <w:b/>
          <w:bCs/>
          <w:noProof/>
          <w:color w:val="C00000"/>
          <w:sz w:val="28"/>
          <w:szCs w:val="28"/>
          <w:lang w:eastAsia="ru-RU"/>
        </w:rPr>
        <w:drawing>
          <wp:inline distT="0" distB="0" distL="0" distR="0">
            <wp:extent cx="5940425" cy="3651071"/>
            <wp:effectExtent l="19050" t="0" r="22225" b="6529"/>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4985" w:rsidRPr="00D54985" w:rsidRDefault="00D54985" w:rsidP="00D54985">
      <w:pPr>
        <w:ind w:right="340" w:firstLine="709"/>
        <w:jc w:val="both"/>
        <w:rPr>
          <w:rFonts w:ascii="Times New Roman" w:hAnsi="Times New Roman"/>
          <w:color w:val="C00000"/>
          <w:sz w:val="28"/>
          <w:szCs w:val="28"/>
        </w:rPr>
      </w:pPr>
    </w:p>
    <w:p w:rsidR="00D54985" w:rsidRPr="00D54985" w:rsidRDefault="00D54985" w:rsidP="00D54985">
      <w:pPr>
        <w:spacing w:line="360" w:lineRule="auto"/>
        <w:ind w:right="340" w:firstLine="709"/>
        <w:jc w:val="both"/>
        <w:rPr>
          <w:rFonts w:ascii="Times New Roman" w:hAnsi="Times New Roman"/>
          <w:sz w:val="28"/>
          <w:szCs w:val="28"/>
        </w:rPr>
      </w:pPr>
      <w:proofErr w:type="gramStart"/>
      <w:r w:rsidRPr="00D54985">
        <w:rPr>
          <w:rFonts w:ascii="Times New Roman" w:hAnsi="Times New Roman"/>
          <w:sz w:val="28"/>
          <w:szCs w:val="28"/>
        </w:rPr>
        <w:lastRenderedPageBreak/>
        <w:t>Из представленной диаграммы видно, что основную долю расходов в общем объеме занимают расходы на общегосударственные вопросы – 38,81 %, культуру и кинематографию – 26,58 %, национальная экономика – 17,03 %, жилищно-коммунальное хозяйство – 15,58%, национальная оборона – 0,74 %, социальная политика – 0,68 %, образование – 0,44%, национальная безопасность и правоохранительная деятельность – 0,14 %.</w:t>
      </w:r>
      <w:proofErr w:type="gramEnd"/>
    </w:p>
    <w:p w:rsidR="00D54985" w:rsidRPr="00D54985" w:rsidRDefault="00D54985" w:rsidP="00D54985">
      <w:pPr>
        <w:ind w:right="340" w:firstLine="709"/>
        <w:jc w:val="both"/>
        <w:rPr>
          <w:rFonts w:ascii="Times New Roman" w:hAnsi="Times New Roman"/>
          <w:color w:val="C00000"/>
          <w:sz w:val="28"/>
          <w:szCs w:val="28"/>
        </w:rPr>
      </w:pPr>
    </w:p>
    <w:p w:rsidR="00D54985" w:rsidRPr="00D54985" w:rsidRDefault="00D54985" w:rsidP="00D54985">
      <w:pPr>
        <w:ind w:right="339" w:firstLine="709"/>
        <w:jc w:val="center"/>
        <w:rPr>
          <w:rFonts w:ascii="Times New Roman" w:hAnsi="Times New Roman"/>
          <w:b/>
          <w:bCs/>
          <w:sz w:val="28"/>
          <w:szCs w:val="28"/>
        </w:rPr>
      </w:pPr>
      <w:r w:rsidRPr="00D54985">
        <w:rPr>
          <w:rFonts w:ascii="Times New Roman" w:hAnsi="Times New Roman"/>
          <w:b/>
          <w:bCs/>
          <w:sz w:val="28"/>
          <w:szCs w:val="28"/>
        </w:rPr>
        <w:t>Сравнительный анализ исполнения бюджета по расходам в разрезе разделов бюджетной классификации за 2018 год и 2019 годы,  рублей</w:t>
      </w:r>
    </w:p>
    <w:tbl>
      <w:tblPr>
        <w:tblW w:w="9372" w:type="dxa"/>
        <w:tblInd w:w="93" w:type="dxa"/>
        <w:tblLayout w:type="fixed"/>
        <w:tblLook w:val="04A0"/>
      </w:tblPr>
      <w:tblGrid>
        <w:gridCol w:w="2025"/>
        <w:gridCol w:w="1251"/>
        <w:gridCol w:w="1276"/>
        <w:gridCol w:w="1276"/>
        <w:gridCol w:w="851"/>
        <w:gridCol w:w="850"/>
        <w:gridCol w:w="851"/>
        <w:gridCol w:w="992"/>
      </w:tblGrid>
      <w:tr w:rsidR="00D54985" w:rsidRPr="00D54985" w:rsidTr="00736040">
        <w:trPr>
          <w:trHeight w:val="315"/>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Наименование раздела</w:t>
            </w:r>
          </w:p>
        </w:tc>
        <w:tc>
          <w:tcPr>
            <w:tcW w:w="12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Исполнение бюджета 2018г.</w:t>
            </w:r>
          </w:p>
        </w:tc>
        <w:tc>
          <w:tcPr>
            <w:tcW w:w="25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Бюджет 2019 года</w:t>
            </w:r>
          </w:p>
        </w:tc>
        <w:tc>
          <w:tcPr>
            <w:tcW w:w="851" w:type="dxa"/>
            <w:tcBorders>
              <w:top w:val="single" w:sz="8" w:space="0" w:color="000000"/>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w:t>
            </w:r>
          </w:p>
        </w:tc>
        <w:tc>
          <w:tcPr>
            <w:tcW w:w="850" w:type="dxa"/>
            <w:tcBorders>
              <w:top w:val="single" w:sz="8" w:space="0" w:color="000000"/>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Удельный вес исполнения за 2018 год в структуре расходов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%Удельный вес исполнения за 2019 год в структуре расходов</w:t>
            </w:r>
          </w:p>
        </w:tc>
      </w:tr>
      <w:tr w:rsidR="00D54985" w:rsidRPr="00D54985" w:rsidTr="00736040">
        <w:trPr>
          <w:trHeight w:val="975"/>
        </w:trPr>
        <w:tc>
          <w:tcPr>
            <w:tcW w:w="2025"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2552" w:type="dxa"/>
            <w:gridSpan w:val="2"/>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исполнения к уточненному плану</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исполнения 2019 года к исполнению 2018 года</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r>
      <w:tr w:rsidR="00D54985" w:rsidRPr="00D54985" w:rsidTr="00736040">
        <w:trPr>
          <w:trHeight w:val="495"/>
        </w:trPr>
        <w:tc>
          <w:tcPr>
            <w:tcW w:w="2025"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proofErr w:type="gramStart"/>
            <w:r w:rsidRPr="00D54985">
              <w:rPr>
                <w:rFonts w:ascii="Times New Roman" w:hAnsi="Times New Roman"/>
                <w:color w:val="000000"/>
                <w:sz w:val="28"/>
                <w:szCs w:val="28"/>
              </w:rPr>
              <w:t>Плановые</w:t>
            </w:r>
            <w:proofErr w:type="gramEnd"/>
            <w:r w:rsidRPr="00D54985">
              <w:rPr>
                <w:rFonts w:ascii="Times New Roman" w:hAnsi="Times New Roman"/>
                <w:color w:val="000000"/>
                <w:sz w:val="28"/>
                <w:szCs w:val="28"/>
              </w:rPr>
              <w:t xml:space="preserve"> назначение</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Исполнение  2019 г.</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54985" w:rsidRPr="00D54985" w:rsidRDefault="00D54985" w:rsidP="00736040">
            <w:pPr>
              <w:rPr>
                <w:rFonts w:ascii="Times New Roman" w:hAnsi="Times New Roman"/>
                <w:color w:val="000000"/>
                <w:sz w:val="28"/>
                <w:szCs w:val="28"/>
              </w:rPr>
            </w:pPr>
          </w:p>
        </w:tc>
      </w:tr>
      <w:tr w:rsidR="00D54985" w:rsidRPr="00D54985" w:rsidTr="00736040">
        <w:trPr>
          <w:trHeight w:val="315"/>
        </w:trPr>
        <w:tc>
          <w:tcPr>
            <w:tcW w:w="2025" w:type="dxa"/>
            <w:tcBorders>
              <w:top w:val="nil"/>
              <w:left w:val="single" w:sz="8" w:space="0" w:color="000000"/>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2</w:t>
            </w:r>
          </w:p>
        </w:tc>
        <w:tc>
          <w:tcPr>
            <w:tcW w:w="1251"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3</w:t>
            </w:r>
          </w:p>
        </w:tc>
        <w:tc>
          <w:tcPr>
            <w:tcW w:w="1276"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4</w:t>
            </w:r>
          </w:p>
        </w:tc>
        <w:tc>
          <w:tcPr>
            <w:tcW w:w="1276"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5</w:t>
            </w:r>
          </w:p>
        </w:tc>
        <w:tc>
          <w:tcPr>
            <w:tcW w:w="851"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6=5\4</w:t>
            </w:r>
          </w:p>
        </w:tc>
        <w:tc>
          <w:tcPr>
            <w:tcW w:w="850"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7=5\3</w:t>
            </w:r>
          </w:p>
        </w:tc>
        <w:tc>
          <w:tcPr>
            <w:tcW w:w="851"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8</w:t>
            </w:r>
          </w:p>
        </w:tc>
        <w:tc>
          <w:tcPr>
            <w:tcW w:w="992"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9</w:t>
            </w:r>
          </w:p>
        </w:tc>
      </w:tr>
      <w:tr w:rsidR="00D54985" w:rsidRPr="00D54985" w:rsidTr="00736040">
        <w:trPr>
          <w:trHeight w:val="495"/>
        </w:trPr>
        <w:tc>
          <w:tcPr>
            <w:tcW w:w="2025" w:type="dxa"/>
            <w:tcBorders>
              <w:top w:val="single" w:sz="8" w:space="0" w:color="auto"/>
              <w:left w:val="single" w:sz="8" w:space="0" w:color="auto"/>
              <w:bottom w:val="single" w:sz="8" w:space="0" w:color="auto"/>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Всего расходов, в том числе:</w:t>
            </w:r>
          </w:p>
        </w:tc>
        <w:tc>
          <w:tcPr>
            <w:tcW w:w="1251" w:type="dxa"/>
            <w:tcBorders>
              <w:top w:val="single" w:sz="8" w:space="0" w:color="auto"/>
              <w:left w:val="nil"/>
              <w:bottom w:val="single" w:sz="8"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57 160 704,43  </w:t>
            </w:r>
          </w:p>
        </w:tc>
        <w:tc>
          <w:tcPr>
            <w:tcW w:w="1276" w:type="dxa"/>
            <w:tcBorders>
              <w:top w:val="single" w:sz="8" w:space="0" w:color="auto"/>
              <w:left w:val="nil"/>
              <w:bottom w:val="single" w:sz="8"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67 836 153,43  </w:t>
            </w:r>
          </w:p>
        </w:tc>
        <w:tc>
          <w:tcPr>
            <w:tcW w:w="1276" w:type="dxa"/>
            <w:tcBorders>
              <w:top w:val="single" w:sz="8" w:space="0" w:color="auto"/>
              <w:left w:val="nil"/>
              <w:bottom w:val="single" w:sz="8"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58 716 692,76  </w:t>
            </w:r>
          </w:p>
        </w:tc>
        <w:tc>
          <w:tcPr>
            <w:tcW w:w="851" w:type="dxa"/>
            <w:tcBorders>
              <w:top w:val="single" w:sz="8" w:space="0" w:color="auto"/>
              <w:left w:val="nil"/>
              <w:bottom w:val="single" w:sz="8" w:space="0" w:color="auto"/>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0,866</w:t>
            </w:r>
          </w:p>
        </w:tc>
        <w:tc>
          <w:tcPr>
            <w:tcW w:w="850" w:type="dxa"/>
            <w:tcBorders>
              <w:top w:val="single" w:sz="8" w:space="0" w:color="auto"/>
              <w:left w:val="nil"/>
              <w:bottom w:val="single" w:sz="8" w:space="0" w:color="auto"/>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1,027</w:t>
            </w:r>
          </w:p>
        </w:tc>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86,56</w:t>
            </w:r>
          </w:p>
        </w:tc>
      </w:tr>
      <w:tr w:rsidR="00D54985" w:rsidRPr="00D54985" w:rsidTr="00736040">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Общегосударственные </w:t>
            </w:r>
            <w:r w:rsidRPr="00D54985">
              <w:rPr>
                <w:rFonts w:ascii="Times New Roman" w:hAnsi="Times New Roman"/>
                <w:color w:val="000000"/>
                <w:sz w:val="28"/>
                <w:szCs w:val="28"/>
              </w:rPr>
              <w:lastRenderedPageBreak/>
              <w:t>вопросы</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lastRenderedPageBreak/>
              <w:t xml:space="preserve">14 257 </w:t>
            </w:r>
            <w:r w:rsidRPr="00D54985">
              <w:rPr>
                <w:rFonts w:ascii="Times New Roman" w:hAnsi="Times New Roman"/>
                <w:color w:val="000000"/>
                <w:sz w:val="28"/>
                <w:szCs w:val="28"/>
              </w:rPr>
              <w:lastRenderedPageBreak/>
              <w:t xml:space="preserve">079,15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lastRenderedPageBreak/>
              <w:t xml:space="preserve">28 119 </w:t>
            </w:r>
            <w:r w:rsidRPr="00D54985">
              <w:rPr>
                <w:rFonts w:ascii="Times New Roman" w:hAnsi="Times New Roman"/>
                <w:color w:val="000000"/>
                <w:sz w:val="28"/>
                <w:szCs w:val="28"/>
              </w:rPr>
              <w:lastRenderedPageBreak/>
              <w:t xml:space="preserve">880,68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lastRenderedPageBreak/>
              <w:t xml:space="preserve">22 785 </w:t>
            </w:r>
            <w:r w:rsidRPr="00D54985">
              <w:rPr>
                <w:rFonts w:ascii="Times New Roman" w:hAnsi="Times New Roman"/>
                <w:color w:val="000000"/>
                <w:sz w:val="28"/>
                <w:szCs w:val="28"/>
              </w:rPr>
              <w:lastRenderedPageBreak/>
              <w:t xml:space="preserve">507,78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lastRenderedPageBreak/>
              <w:t>0,810</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1,598</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38,81</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81,03</w:t>
            </w:r>
          </w:p>
        </w:tc>
      </w:tr>
      <w:tr w:rsidR="00D54985" w:rsidRPr="00D54985" w:rsidTr="00736040">
        <w:trPr>
          <w:trHeight w:val="315"/>
        </w:trPr>
        <w:tc>
          <w:tcPr>
            <w:tcW w:w="2025" w:type="dxa"/>
            <w:tcBorders>
              <w:top w:val="nil"/>
              <w:left w:val="single" w:sz="8" w:space="0" w:color="000000"/>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lastRenderedPageBreak/>
              <w:t>Национальная оборона</w:t>
            </w:r>
          </w:p>
        </w:tc>
        <w:tc>
          <w:tcPr>
            <w:tcW w:w="1251"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393 800,00  </w:t>
            </w:r>
          </w:p>
        </w:tc>
        <w:tc>
          <w:tcPr>
            <w:tcW w:w="1276" w:type="dxa"/>
            <w:tcBorders>
              <w:top w:val="nil"/>
              <w:left w:val="nil"/>
              <w:bottom w:val="nil"/>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435 500,00  </w:t>
            </w:r>
          </w:p>
        </w:tc>
        <w:tc>
          <w:tcPr>
            <w:tcW w:w="1276" w:type="dxa"/>
            <w:tcBorders>
              <w:top w:val="nil"/>
              <w:left w:val="nil"/>
              <w:bottom w:val="nil"/>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435 500,00  </w:t>
            </w:r>
          </w:p>
        </w:tc>
        <w:tc>
          <w:tcPr>
            <w:tcW w:w="851" w:type="dxa"/>
            <w:tcBorders>
              <w:top w:val="nil"/>
              <w:left w:val="nil"/>
              <w:bottom w:val="nil"/>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1,000</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1,106</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0,74</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100,00</w:t>
            </w:r>
          </w:p>
        </w:tc>
      </w:tr>
      <w:tr w:rsidR="00D54985" w:rsidRPr="00D54985" w:rsidTr="00736040">
        <w:trPr>
          <w:trHeight w:val="975"/>
        </w:trPr>
        <w:tc>
          <w:tcPr>
            <w:tcW w:w="2025" w:type="dxa"/>
            <w:tcBorders>
              <w:top w:val="single" w:sz="8" w:space="0" w:color="auto"/>
              <w:left w:val="single" w:sz="8" w:space="0" w:color="auto"/>
              <w:bottom w:val="single" w:sz="4"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Национальная безопасность и правоохранительная деятельность</w:t>
            </w:r>
          </w:p>
        </w:tc>
        <w:tc>
          <w:tcPr>
            <w:tcW w:w="1251" w:type="dxa"/>
            <w:tcBorders>
              <w:top w:val="single" w:sz="8" w:space="0" w:color="auto"/>
              <w:left w:val="nil"/>
              <w:bottom w:val="single" w:sz="4" w:space="0" w:color="auto"/>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143 320,00  </w:t>
            </w:r>
          </w:p>
        </w:tc>
        <w:tc>
          <w:tcPr>
            <w:tcW w:w="1276" w:type="dxa"/>
            <w:tcBorders>
              <w:top w:val="single" w:sz="8" w:space="0" w:color="auto"/>
              <w:left w:val="nil"/>
              <w:bottom w:val="single" w:sz="4"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84 674,92  </w:t>
            </w:r>
          </w:p>
        </w:tc>
        <w:tc>
          <w:tcPr>
            <w:tcW w:w="1276" w:type="dxa"/>
            <w:tcBorders>
              <w:top w:val="single" w:sz="8" w:space="0" w:color="auto"/>
              <w:left w:val="nil"/>
              <w:bottom w:val="single" w:sz="4" w:space="0" w:color="auto"/>
              <w:right w:val="single" w:sz="8" w:space="0" w:color="000000"/>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84 674,92  </w:t>
            </w:r>
          </w:p>
        </w:tc>
        <w:tc>
          <w:tcPr>
            <w:tcW w:w="851" w:type="dxa"/>
            <w:tcBorders>
              <w:top w:val="single" w:sz="8" w:space="0" w:color="auto"/>
              <w:left w:val="nil"/>
              <w:bottom w:val="single" w:sz="4" w:space="0" w:color="auto"/>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1,000</w:t>
            </w:r>
          </w:p>
        </w:tc>
        <w:tc>
          <w:tcPr>
            <w:tcW w:w="850" w:type="dxa"/>
            <w:tcBorders>
              <w:top w:val="nil"/>
              <w:left w:val="nil"/>
              <w:bottom w:val="single" w:sz="4" w:space="0" w:color="auto"/>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0,591</w:t>
            </w:r>
          </w:p>
        </w:tc>
        <w:tc>
          <w:tcPr>
            <w:tcW w:w="851" w:type="dxa"/>
            <w:tcBorders>
              <w:top w:val="nil"/>
              <w:left w:val="nil"/>
              <w:bottom w:val="single" w:sz="4" w:space="0" w:color="auto"/>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0,14</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100,00</w:t>
            </w:r>
          </w:p>
        </w:tc>
      </w:tr>
      <w:tr w:rsidR="00D54985" w:rsidRPr="00D54985" w:rsidTr="00736040">
        <w:trPr>
          <w:trHeight w:val="315"/>
        </w:trPr>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Национальная экономика</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5 092 190,95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12 378 654,79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rPr>
                <w:rFonts w:ascii="Times New Roman" w:hAnsi="Times New Roman"/>
                <w:color w:val="000000"/>
                <w:sz w:val="28"/>
                <w:szCs w:val="28"/>
              </w:rPr>
            </w:pPr>
            <w:r w:rsidRPr="00D54985">
              <w:rPr>
                <w:rFonts w:ascii="Times New Roman" w:hAnsi="Times New Roman"/>
                <w:color w:val="000000"/>
                <w:sz w:val="28"/>
                <w:szCs w:val="28"/>
              </w:rPr>
              <w:t xml:space="preserve">10 000 054,65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0,808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17,03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80,78</w:t>
            </w:r>
          </w:p>
        </w:tc>
      </w:tr>
      <w:tr w:rsidR="00D54985" w:rsidRPr="00D54985" w:rsidTr="00736040">
        <w:trPr>
          <w:trHeight w:val="495"/>
        </w:trPr>
        <w:tc>
          <w:tcPr>
            <w:tcW w:w="2025" w:type="dxa"/>
            <w:tcBorders>
              <w:top w:val="single" w:sz="4" w:space="0" w:color="auto"/>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Жилищно-коммунальное  хозяйство</w:t>
            </w:r>
          </w:p>
        </w:tc>
        <w:tc>
          <w:tcPr>
            <w:tcW w:w="1251" w:type="dxa"/>
            <w:tcBorders>
              <w:top w:val="single" w:sz="4" w:space="0" w:color="auto"/>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12 237 602,87  </w:t>
            </w:r>
          </w:p>
        </w:tc>
        <w:tc>
          <w:tcPr>
            <w:tcW w:w="1276" w:type="dxa"/>
            <w:tcBorders>
              <w:top w:val="single" w:sz="4" w:space="0" w:color="auto"/>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10 537 211,79  </w:t>
            </w:r>
          </w:p>
        </w:tc>
        <w:tc>
          <w:tcPr>
            <w:tcW w:w="1276" w:type="dxa"/>
            <w:tcBorders>
              <w:top w:val="single" w:sz="4" w:space="0" w:color="auto"/>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9 146 576,00  </w:t>
            </w:r>
          </w:p>
        </w:tc>
        <w:tc>
          <w:tcPr>
            <w:tcW w:w="851" w:type="dxa"/>
            <w:tcBorders>
              <w:top w:val="single" w:sz="4" w:space="0" w:color="auto"/>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0,868</w:t>
            </w:r>
          </w:p>
        </w:tc>
        <w:tc>
          <w:tcPr>
            <w:tcW w:w="850" w:type="dxa"/>
            <w:tcBorders>
              <w:top w:val="single" w:sz="4" w:space="0" w:color="auto"/>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0,747</w:t>
            </w:r>
          </w:p>
        </w:tc>
        <w:tc>
          <w:tcPr>
            <w:tcW w:w="851" w:type="dxa"/>
            <w:tcBorders>
              <w:top w:val="single" w:sz="4" w:space="0" w:color="auto"/>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15,58</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86,80</w:t>
            </w:r>
          </w:p>
        </w:tc>
      </w:tr>
      <w:tr w:rsidR="00D54985" w:rsidRPr="00D54985" w:rsidTr="00736040">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Охрана окружающей среды</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1 601,46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1 654,16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1 654,16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1,000</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1,033</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0,00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100,00</w:t>
            </w:r>
          </w:p>
        </w:tc>
      </w:tr>
      <w:tr w:rsidR="00D54985" w:rsidRPr="00D54985" w:rsidTr="00736040">
        <w:trPr>
          <w:trHeight w:val="31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Образование</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208 510,96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262 873,01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256 858,17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0,977</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1,232</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0,44</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97,71</w:t>
            </w:r>
          </w:p>
        </w:tc>
      </w:tr>
      <w:tr w:rsidR="00D54985" w:rsidRPr="00D54985" w:rsidTr="00736040">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Культура,  кинематография</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24 450 575,76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15 616 704,08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15 606 867,08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0,999</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0,638</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26,58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99,94</w:t>
            </w:r>
          </w:p>
        </w:tc>
      </w:tr>
      <w:tr w:rsidR="00D54985" w:rsidRPr="00D54985" w:rsidTr="00736040">
        <w:trPr>
          <w:trHeight w:val="31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Социальная политика</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360 000,00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399 000,00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399 000,00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1,000</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1,108</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0,68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right"/>
              <w:rPr>
                <w:rFonts w:ascii="Times New Roman" w:hAnsi="Times New Roman"/>
                <w:color w:val="000000"/>
                <w:sz w:val="28"/>
                <w:szCs w:val="28"/>
              </w:rPr>
            </w:pPr>
            <w:r w:rsidRPr="00D54985">
              <w:rPr>
                <w:rFonts w:ascii="Times New Roman" w:hAnsi="Times New Roman"/>
                <w:color w:val="000000"/>
                <w:sz w:val="28"/>
                <w:szCs w:val="28"/>
              </w:rPr>
              <w:t>100,00</w:t>
            </w:r>
          </w:p>
        </w:tc>
      </w:tr>
      <w:tr w:rsidR="00D54985" w:rsidRPr="00D54985" w:rsidTr="00736040">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Средства массовой информации</w:t>
            </w:r>
          </w:p>
        </w:tc>
        <w:tc>
          <w:tcPr>
            <w:tcW w:w="12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16 023,28  </w:t>
            </w:r>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bookmarkStart w:id="0" w:name="RANGE!C15"/>
            <w:r w:rsidRPr="00D54985">
              <w:rPr>
                <w:rFonts w:ascii="Times New Roman" w:hAnsi="Times New Roman"/>
                <w:color w:val="000000"/>
                <w:sz w:val="28"/>
                <w:szCs w:val="28"/>
              </w:rPr>
              <w:t xml:space="preserve">0,00  </w:t>
            </w:r>
            <w:bookmarkEnd w:id="0"/>
          </w:p>
        </w:tc>
        <w:tc>
          <w:tcPr>
            <w:tcW w:w="1276"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 xml:space="preserve">0,00  </w:t>
            </w:r>
          </w:p>
        </w:tc>
        <w:tc>
          <w:tcPr>
            <w:tcW w:w="851"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#ДЕЛ/0!</w:t>
            </w:r>
          </w:p>
        </w:tc>
        <w:tc>
          <w:tcPr>
            <w:tcW w:w="850" w:type="dxa"/>
            <w:tcBorders>
              <w:top w:val="nil"/>
              <w:left w:val="nil"/>
              <w:bottom w:val="single" w:sz="8" w:space="0" w:color="000000"/>
              <w:right w:val="single" w:sz="8" w:space="0" w:color="000000"/>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0,000</w:t>
            </w:r>
          </w:p>
        </w:tc>
        <w:tc>
          <w:tcPr>
            <w:tcW w:w="851" w:type="dxa"/>
            <w:tcBorders>
              <w:top w:val="nil"/>
              <w:left w:val="nil"/>
              <w:bottom w:val="single" w:sz="8" w:space="0" w:color="000000"/>
              <w:right w:val="nil"/>
            </w:tcBorders>
            <w:shd w:val="clear" w:color="auto" w:fill="auto"/>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0,00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54985" w:rsidRPr="00D54985" w:rsidRDefault="00D54985" w:rsidP="00736040">
            <w:pPr>
              <w:jc w:val="center"/>
              <w:rPr>
                <w:rFonts w:ascii="Times New Roman" w:hAnsi="Times New Roman"/>
                <w:color w:val="000000"/>
                <w:sz w:val="28"/>
                <w:szCs w:val="28"/>
              </w:rPr>
            </w:pPr>
            <w:r w:rsidRPr="00D54985">
              <w:rPr>
                <w:rFonts w:ascii="Times New Roman" w:hAnsi="Times New Roman"/>
                <w:color w:val="000000"/>
                <w:sz w:val="28"/>
                <w:szCs w:val="28"/>
              </w:rPr>
              <w:t>#ДЕЛ/0!</w:t>
            </w:r>
          </w:p>
        </w:tc>
      </w:tr>
    </w:tbl>
    <w:p w:rsidR="00D54985" w:rsidRPr="00D54985" w:rsidRDefault="00D54985" w:rsidP="00D54985">
      <w:pPr>
        <w:ind w:firstLine="709"/>
        <w:jc w:val="both"/>
        <w:rPr>
          <w:rFonts w:ascii="Times New Roman" w:hAnsi="Times New Roman"/>
          <w:color w:val="C00000"/>
          <w:sz w:val="28"/>
          <w:szCs w:val="28"/>
        </w:rPr>
      </w:pPr>
    </w:p>
    <w:p w:rsidR="00D54985" w:rsidRPr="00D54985" w:rsidRDefault="00D54985" w:rsidP="00117D77">
      <w:pPr>
        <w:spacing w:after="0" w:line="240" w:lineRule="auto"/>
        <w:ind w:firstLine="709"/>
        <w:jc w:val="both"/>
        <w:rPr>
          <w:rFonts w:ascii="Times New Roman" w:hAnsi="Times New Roman"/>
          <w:sz w:val="28"/>
          <w:szCs w:val="28"/>
        </w:rPr>
      </w:pPr>
      <w:r w:rsidRPr="00D54985">
        <w:rPr>
          <w:rFonts w:ascii="Times New Roman" w:hAnsi="Times New Roman"/>
          <w:sz w:val="28"/>
          <w:szCs w:val="28"/>
        </w:rPr>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D54985" w:rsidRPr="00D54985" w:rsidRDefault="00D54985" w:rsidP="00117D77">
      <w:pPr>
        <w:spacing w:after="0" w:line="240" w:lineRule="auto"/>
        <w:ind w:firstLine="709"/>
        <w:jc w:val="both"/>
        <w:rPr>
          <w:rFonts w:ascii="Times New Roman" w:hAnsi="Times New Roman"/>
          <w:sz w:val="28"/>
          <w:szCs w:val="28"/>
        </w:rPr>
      </w:pPr>
      <w:r w:rsidRPr="00D54985">
        <w:rPr>
          <w:rFonts w:ascii="Times New Roman" w:hAnsi="Times New Roman"/>
          <w:sz w:val="28"/>
          <w:szCs w:val="28"/>
        </w:rPr>
        <w:t xml:space="preserve">Расходы бюджета по разделам профинансированы в объемах, не превышающих утвержденные бюджетом поселения на 2019 год. </w:t>
      </w:r>
    </w:p>
    <w:p w:rsidR="00D54985" w:rsidRPr="00D54985" w:rsidRDefault="00D54985" w:rsidP="00117D77">
      <w:pPr>
        <w:spacing w:after="0" w:line="240" w:lineRule="auto"/>
        <w:ind w:firstLine="709"/>
        <w:jc w:val="both"/>
        <w:rPr>
          <w:rFonts w:ascii="Times New Roman" w:hAnsi="Times New Roman"/>
          <w:color w:val="C00000"/>
          <w:sz w:val="28"/>
          <w:szCs w:val="28"/>
        </w:rPr>
      </w:pPr>
      <w:r w:rsidRPr="00D54985">
        <w:rPr>
          <w:rFonts w:ascii="Times New Roman" w:hAnsi="Times New Roman"/>
          <w:sz w:val="28"/>
          <w:szCs w:val="28"/>
        </w:rPr>
        <w:lastRenderedPageBreak/>
        <w:t>Исполнение расходов по функциональной классификации характеризуется следующим образом</w:t>
      </w:r>
      <w:r w:rsidRPr="00D54985">
        <w:rPr>
          <w:rFonts w:ascii="Times New Roman" w:hAnsi="Times New Roman"/>
          <w:color w:val="C00000"/>
          <w:sz w:val="28"/>
          <w:szCs w:val="28"/>
        </w:rPr>
        <w:t>.</w:t>
      </w:r>
    </w:p>
    <w:p w:rsidR="00D54985" w:rsidRPr="00D54985" w:rsidRDefault="00D54985" w:rsidP="00117D77">
      <w:pPr>
        <w:widowControl w:val="0"/>
        <w:tabs>
          <w:tab w:val="left" w:pos="4500"/>
        </w:tabs>
        <w:spacing w:after="0" w:line="240" w:lineRule="auto"/>
        <w:ind w:firstLine="709"/>
        <w:jc w:val="both"/>
        <w:rPr>
          <w:rFonts w:ascii="Times New Roman" w:hAnsi="Times New Roman"/>
          <w:b/>
          <w:bCs/>
          <w:sz w:val="28"/>
          <w:szCs w:val="28"/>
        </w:rPr>
      </w:pPr>
      <w:r w:rsidRPr="00D54985">
        <w:rPr>
          <w:rFonts w:ascii="Times New Roman" w:hAnsi="Times New Roman"/>
          <w:b/>
          <w:bCs/>
          <w:sz w:val="28"/>
          <w:szCs w:val="28"/>
        </w:rPr>
        <w:t>Структура расходов бюджета в разрезе подразделов функциональной классификации представлена в 2018 году следующими данными:</w:t>
      </w:r>
    </w:p>
    <w:p w:rsidR="00D54985" w:rsidRPr="00D54985" w:rsidRDefault="00D54985" w:rsidP="00117D77">
      <w:pPr>
        <w:tabs>
          <w:tab w:val="left" w:pos="6120"/>
        </w:tabs>
        <w:spacing w:after="0" w:line="240" w:lineRule="auto"/>
        <w:ind w:firstLine="709"/>
        <w:jc w:val="both"/>
        <w:rPr>
          <w:rFonts w:ascii="Times New Roman" w:hAnsi="Times New Roman"/>
          <w:sz w:val="28"/>
          <w:szCs w:val="28"/>
        </w:rPr>
      </w:pPr>
      <w:r w:rsidRPr="00D54985">
        <w:rPr>
          <w:rFonts w:ascii="Times New Roman" w:hAnsi="Times New Roman"/>
          <w:sz w:val="28"/>
          <w:szCs w:val="28"/>
        </w:rPr>
        <w:t xml:space="preserve">По разделу </w:t>
      </w:r>
      <w:r w:rsidRPr="00D54985">
        <w:rPr>
          <w:rFonts w:ascii="Times New Roman" w:hAnsi="Times New Roman"/>
          <w:b/>
          <w:bCs/>
          <w:sz w:val="28"/>
          <w:szCs w:val="28"/>
        </w:rPr>
        <w:t xml:space="preserve">0100 «Общегосударственные вопросы» </w:t>
      </w:r>
      <w:r w:rsidRPr="00D54985">
        <w:rPr>
          <w:rFonts w:ascii="Times New Roman" w:hAnsi="Times New Roman"/>
          <w:sz w:val="28"/>
          <w:szCs w:val="28"/>
        </w:rPr>
        <w:t>отражаются расходы на содержание органа местного самоуправления. Расходы составили 22 785 507,78 рублей или 81,02 % от планового назначения. К данному разделу относятся следующие подразделы:</w:t>
      </w:r>
    </w:p>
    <w:p w:rsidR="00D54985" w:rsidRPr="00D54985" w:rsidRDefault="00D54985" w:rsidP="00117D77">
      <w:pPr>
        <w:pStyle w:val="a5"/>
        <w:numPr>
          <w:ilvl w:val="0"/>
          <w:numId w:val="10"/>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t>0102 «Функционирование высшего должностного лица субъекта РФ и муниципального образования» – 1 676 260,97 или 100% от плана;</w:t>
      </w:r>
    </w:p>
    <w:p w:rsidR="00D54985" w:rsidRPr="00D54985" w:rsidRDefault="00D54985" w:rsidP="00117D77">
      <w:pPr>
        <w:pStyle w:val="a5"/>
        <w:numPr>
          <w:ilvl w:val="0"/>
          <w:numId w:val="10"/>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t>0104 «Функционирование Правительства Российской Федерации, высших органов исполнительной власти субъектов Российской Федерации, местных администраций» – 9 309 546,61 или 99,55 % от плана;</w:t>
      </w:r>
    </w:p>
    <w:p w:rsidR="00D54985" w:rsidRPr="00D54985" w:rsidRDefault="00D54985" w:rsidP="00117D77">
      <w:pPr>
        <w:pStyle w:val="a5"/>
        <w:numPr>
          <w:ilvl w:val="0"/>
          <w:numId w:val="10"/>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t>0107 «Обеспечение проведения выборов и референдумов» - 379 601 или 100% от плана;</w:t>
      </w:r>
    </w:p>
    <w:p w:rsidR="00D54985" w:rsidRPr="00D54985" w:rsidRDefault="00D54985" w:rsidP="00117D77">
      <w:pPr>
        <w:pStyle w:val="a5"/>
        <w:numPr>
          <w:ilvl w:val="0"/>
          <w:numId w:val="10"/>
        </w:numPr>
        <w:tabs>
          <w:tab w:val="left" w:pos="709"/>
        </w:tabs>
        <w:spacing w:after="0" w:line="240" w:lineRule="auto"/>
        <w:ind w:left="0" w:firstLine="709"/>
        <w:jc w:val="both"/>
        <w:rPr>
          <w:rFonts w:ascii="Times New Roman" w:hAnsi="Times New Roman"/>
          <w:sz w:val="28"/>
          <w:szCs w:val="28"/>
        </w:rPr>
      </w:pPr>
      <w:r w:rsidRPr="00D54985">
        <w:rPr>
          <w:rFonts w:ascii="Times New Roman" w:hAnsi="Times New Roman"/>
          <w:sz w:val="28"/>
          <w:szCs w:val="28"/>
        </w:rPr>
        <w:t>0113 «Другие общегосударственные вопросы» – 11 420 099,20 или 68,33 % от плана.</w:t>
      </w:r>
    </w:p>
    <w:p w:rsidR="00D54985" w:rsidRPr="00D54985" w:rsidRDefault="00D54985" w:rsidP="00117D77">
      <w:pPr>
        <w:spacing w:after="0" w:line="240" w:lineRule="auto"/>
        <w:ind w:firstLine="709"/>
        <w:jc w:val="both"/>
        <w:rPr>
          <w:rFonts w:ascii="Times New Roman" w:hAnsi="Times New Roman"/>
          <w:sz w:val="28"/>
          <w:szCs w:val="28"/>
        </w:rPr>
      </w:pPr>
      <w:r w:rsidRPr="00D54985">
        <w:rPr>
          <w:rFonts w:ascii="Times New Roman" w:hAnsi="Times New Roman"/>
          <w:b/>
          <w:bCs/>
          <w:sz w:val="28"/>
          <w:szCs w:val="28"/>
        </w:rPr>
        <w:t>Раздел 0200 «</w:t>
      </w:r>
      <w:r w:rsidRPr="00D54985">
        <w:rPr>
          <w:rStyle w:val="a8"/>
          <w:rFonts w:ascii="Times New Roman" w:eastAsia="Arial Unicode MS" w:hAnsi="Times New Roman"/>
          <w:sz w:val="28"/>
          <w:szCs w:val="28"/>
        </w:rPr>
        <w:t>Национальная оборона»</w:t>
      </w:r>
      <w:r w:rsidRPr="00D54985">
        <w:rPr>
          <w:rFonts w:ascii="Times New Roman" w:hAnsi="Times New Roman"/>
          <w:sz w:val="28"/>
          <w:szCs w:val="28"/>
        </w:rPr>
        <w:t>.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2019 год составили   435 500,00 рублей.</w:t>
      </w:r>
    </w:p>
    <w:p w:rsidR="00D54985" w:rsidRPr="00D54985" w:rsidRDefault="00D54985" w:rsidP="00117D77">
      <w:pPr>
        <w:pStyle w:val="3"/>
        <w:spacing w:after="0" w:line="240" w:lineRule="auto"/>
        <w:ind w:firstLine="709"/>
        <w:jc w:val="both"/>
        <w:rPr>
          <w:rFonts w:ascii="Times New Roman" w:hAnsi="Times New Roman"/>
          <w:sz w:val="28"/>
          <w:szCs w:val="28"/>
        </w:rPr>
      </w:pPr>
      <w:r w:rsidRPr="00D54985">
        <w:rPr>
          <w:rFonts w:ascii="Times New Roman" w:hAnsi="Times New Roman"/>
          <w:b/>
          <w:sz w:val="28"/>
          <w:szCs w:val="28"/>
        </w:rPr>
        <w:t>Раздел 0300 «Национальная безопасность и правоохранительная деятельность»</w:t>
      </w:r>
      <w:r w:rsidRPr="00D54985">
        <w:rPr>
          <w:rFonts w:ascii="Times New Roman" w:hAnsi="Times New Roman"/>
          <w:sz w:val="28"/>
          <w:szCs w:val="28"/>
        </w:rPr>
        <w:t>. В рамках произведенных расходов осуществлялось финансирование следующих подразделов:</w:t>
      </w:r>
    </w:p>
    <w:p w:rsidR="00D54985" w:rsidRPr="00D54985" w:rsidRDefault="00D54985" w:rsidP="00117D77">
      <w:pPr>
        <w:pStyle w:val="a5"/>
        <w:numPr>
          <w:ilvl w:val="0"/>
          <w:numId w:val="11"/>
        </w:numPr>
        <w:spacing w:after="0" w:line="240" w:lineRule="auto"/>
        <w:ind w:left="0" w:firstLine="709"/>
        <w:jc w:val="both"/>
        <w:rPr>
          <w:rFonts w:ascii="Times New Roman" w:hAnsi="Times New Roman"/>
          <w:sz w:val="28"/>
          <w:szCs w:val="28"/>
        </w:rPr>
      </w:pPr>
      <w:r w:rsidRPr="00D54985">
        <w:rPr>
          <w:rFonts w:ascii="Times New Roman" w:hAnsi="Times New Roman"/>
          <w:bCs/>
          <w:sz w:val="28"/>
          <w:szCs w:val="28"/>
        </w:rPr>
        <w:t>0304 «Органы юстиции»</w:t>
      </w:r>
      <w:r w:rsidRPr="00D54985">
        <w:rPr>
          <w:rFonts w:ascii="Times New Roman" w:hAnsi="Times New Roman"/>
          <w:b/>
          <w:bCs/>
          <w:sz w:val="28"/>
          <w:szCs w:val="28"/>
        </w:rPr>
        <w:t xml:space="preserve"> - </w:t>
      </w:r>
      <w:r w:rsidRPr="00D54985">
        <w:rPr>
          <w:rFonts w:ascii="Times New Roman" w:hAnsi="Times New Roman"/>
          <w:sz w:val="28"/>
          <w:szCs w:val="28"/>
        </w:rPr>
        <w:t>по данному подразделу отражаются расходы по субвенции государственной регистрации актов гражданского состояния: за счет средств федерального план  составляет  34 560,23 рублей, за счет средств окружного бюджета 13 610,05 рублей;</w:t>
      </w:r>
    </w:p>
    <w:p w:rsidR="00D54985" w:rsidRPr="00D54985" w:rsidRDefault="00D54985" w:rsidP="00117D77">
      <w:pPr>
        <w:pStyle w:val="a5"/>
        <w:numPr>
          <w:ilvl w:val="0"/>
          <w:numId w:val="11"/>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t>0309 «Защита населения и территории от ЧС природного и техногенного характера, гражданская оборона – 15 514,51 рублей</w:t>
      </w:r>
    </w:p>
    <w:p w:rsidR="00D54985" w:rsidRPr="00D54985" w:rsidRDefault="00D54985" w:rsidP="00117D77">
      <w:pPr>
        <w:pStyle w:val="a5"/>
        <w:numPr>
          <w:ilvl w:val="0"/>
          <w:numId w:val="11"/>
        </w:numPr>
        <w:spacing w:after="0" w:line="240" w:lineRule="auto"/>
        <w:ind w:left="0" w:firstLine="709"/>
        <w:jc w:val="both"/>
        <w:rPr>
          <w:rFonts w:ascii="Times New Roman" w:hAnsi="Times New Roman"/>
          <w:color w:val="C00000"/>
          <w:sz w:val="28"/>
          <w:szCs w:val="28"/>
        </w:rPr>
      </w:pPr>
      <w:r w:rsidRPr="00D54985">
        <w:rPr>
          <w:rFonts w:ascii="Times New Roman" w:hAnsi="Times New Roman"/>
          <w:sz w:val="28"/>
          <w:szCs w:val="28"/>
        </w:rPr>
        <w:t>0314 «Обеспечение прав и законных интересов населения Кондинского 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20 990,13 рублей</w:t>
      </w:r>
      <w:r w:rsidRPr="00D54985">
        <w:rPr>
          <w:rFonts w:ascii="Times New Roman" w:hAnsi="Times New Roman"/>
          <w:color w:val="C00000"/>
          <w:sz w:val="28"/>
          <w:szCs w:val="28"/>
        </w:rPr>
        <w:t>.</w:t>
      </w:r>
    </w:p>
    <w:p w:rsidR="00D54985" w:rsidRPr="00D54985" w:rsidRDefault="00D54985" w:rsidP="00117D77">
      <w:pPr>
        <w:spacing w:after="0" w:line="240" w:lineRule="auto"/>
        <w:ind w:firstLine="709"/>
        <w:jc w:val="both"/>
        <w:rPr>
          <w:rFonts w:ascii="Times New Roman" w:hAnsi="Times New Roman"/>
          <w:bCs/>
          <w:i/>
          <w:iCs/>
          <w:sz w:val="28"/>
          <w:szCs w:val="28"/>
        </w:rPr>
      </w:pPr>
      <w:r w:rsidRPr="00D54985">
        <w:rPr>
          <w:rFonts w:ascii="Times New Roman" w:hAnsi="Times New Roman"/>
          <w:sz w:val="28"/>
          <w:szCs w:val="28"/>
        </w:rPr>
        <w:t>По разделу</w:t>
      </w:r>
      <w:r w:rsidRPr="00D54985">
        <w:rPr>
          <w:rFonts w:ascii="Times New Roman" w:hAnsi="Times New Roman"/>
          <w:b/>
          <w:bCs/>
          <w:sz w:val="28"/>
          <w:szCs w:val="28"/>
        </w:rPr>
        <w:t xml:space="preserve"> 0400 «Национальная экономика» </w:t>
      </w:r>
      <w:r w:rsidRPr="00D54985">
        <w:rPr>
          <w:rFonts w:ascii="Times New Roman" w:hAnsi="Times New Roman"/>
          <w:sz w:val="28"/>
          <w:szCs w:val="28"/>
        </w:rPr>
        <w:t xml:space="preserve">произведены расходы на сумму 10 000 054,65 рублей при  плане </w:t>
      </w:r>
      <w:r w:rsidRPr="00D54985">
        <w:rPr>
          <w:rFonts w:ascii="Times New Roman" w:hAnsi="Times New Roman"/>
          <w:bCs/>
          <w:sz w:val="28"/>
          <w:szCs w:val="28"/>
        </w:rPr>
        <w:t xml:space="preserve">12 378 654,79 </w:t>
      </w:r>
      <w:r w:rsidRPr="00D54985">
        <w:rPr>
          <w:rFonts w:ascii="Times New Roman" w:hAnsi="Times New Roman"/>
          <w:sz w:val="28"/>
          <w:szCs w:val="28"/>
        </w:rPr>
        <w:t>рублей исполнение составляет 80,78%.</w:t>
      </w:r>
    </w:p>
    <w:p w:rsidR="00D54985" w:rsidRPr="00D54985" w:rsidRDefault="00D54985" w:rsidP="00117D77">
      <w:pPr>
        <w:pStyle w:val="3"/>
        <w:spacing w:after="0" w:line="240" w:lineRule="auto"/>
        <w:ind w:firstLine="709"/>
        <w:jc w:val="both"/>
        <w:rPr>
          <w:rFonts w:ascii="Times New Roman" w:hAnsi="Times New Roman"/>
          <w:b/>
          <w:bCs/>
          <w:i/>
          <w:iCs/>
          <w:sz w:val="28"/>
          <w:szCs w:val="28"/>
        </w:rPr>
      </w:pPr>
      <w:r w:rsidRPr="00D54985">
        <w:rPr>
          <w:rFonts w:ascii="Times New Roman" w:hAnsi="Times New Roman"/>
          <w:sz w:val="28"/>
          <w:szCs w:val="28"/>
        </w:rPr>
        <w:t>В рамках произведенных расходов осуществлялось финансирование следующих подразделов:</w:t>
      </w:r>
    </w:p>
    <w:p w:rsidR="00D54985" w:rsidRPr="00D54985" w:rsidRDefault="00D54985" w:rsidP="00117D77">
      <w:pPr>
        <w:pStyle w:val="a5"/>
        <w:numPr>
          <w:ilvl w:val="0"/>
          <w:numId w:val="12"/>
        </w:numPr>
        <w:spacing w:after="0" w:line="240" w:lineRule="auto"/>
        <w:ind w:left="0" w:firstLine="709"/>
        <w:jc w:val="both"/>
        <w:rPr>
          <w:rFonts w:ascii="Times New Roman" w:hAnsi="Times New Roman"/>
          <w:sz w:val="28"/>
          <w:szCs w:val="28"/>
        </w:rPr>
      </w:pPr>
      <w:r w:rsidRPr="00D54985">
        <w:rPr>
          <w:rFonts w:ascii="Times New Roman" w:hAnsi="Times New Roman"/>
          <w:bCs/>
          <w:sz w:val="28"/>
          <w:szCs w:val="28"/>
        </w:rPr>
        <w:t>0401 «Общеэкономические вопросы»</w:t>
      </w:r>
      <w:r w:rsidRPr="00D54985">
        <w:rPr>
          <w:rFonts w:ascii="Times New Roman" w:hAnsi="Times New Roman"/>
          <w:sz w:val="28"/>
          <w:szCs w:val="28"/>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sidRPr="00D54985">
        <w:rPr>
          <w:rFonts w:ascii="Times New Roman" w:hAnsi="Times New Roman"/>
          <w:bCs/>
          <w:sz w:val="28"/>
          <w:szCs w:val="28"/>
        </w:rPr>
        <w:t xml:space="preserve">1 751 005,06 </w:t>
      </w:r>
      <w:r w:rsidRPr="00D54985">
        <w:rPr>
          <w:rFonts w:ascii="Times New Roman" w:hAnsi="Times New Roman"/>
          <w:sz w:val="28"/>
          <w:szCs w:val="28"/>
        </w:rPr>
        <w:t xml:space="preserve">рублей при плане </w:t>
      </w:r>
      <w:r w:rsidRPr="00D54985">
        <w:rPr>
          <w:rFonts w:ascii="Times New Roman" w:hAnsi="Times New Roman"/>
          <w:bCs/>
          <w:sz w:val="28"/>
          <w:szCs w:val="28"/>
        </w:rPr>
        <w:t xml:space="preserve"> 1 751 005,06 </w:t>
      </w:r>
      <w:r w:rsidRPr="00D54985">
        <w:rPr>
          <w:rFonts w:ascii="Times New Roman" w:hAnsi="Times New Roman"/>
          <w:sz w:val="28"/>
          <w:szCs w:val="28"/>
        </w:rPr>
        <w:t>рублей;</w:t>
      </w:r>
    </w:p>
    <w:p w:rsidR="00D54985" w:rsidRPr="00D54985" w:rsidRDefault="00D54985" w:rsidP="00117D77">
      <w:pPr>
        <w:pStyle w:val="a5"/>
        <w:numPr>
          <w:ilvl w:val="0"/>
          <w:numId w:val="12"/>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lastRenderedPageBreak/>
        <w:t>0409 «Дорожное хозяйство» - по данному подразделу отражаются расходы содержание дорог. Исполнение составляет 76,73% от плана  или 7 799 795,76. (ремонтно-восстановительные работы и содержание дорог, приобретение и установка дорожных знаков);</w:t>
      </w:r>
    </w:p>
    <w:p w:rsidR="00D54985" w:rsidRPr="00D54985" w:rsidRDefault="00D54985" w:rsidP="00117D77">
      <w:pPr>
        <w:pStyle w:val="a5"/>
        <w:numPr>
          <w:ilvl w:val="0"/>
          <w:numId w:val="12"/>
        </w:numPr>
        <w:spacing w:after="0" w:line="240" w:lineRule="auto"/>
        <w:ind w:left="0" w:firstLine="709"/>
        <w:jc w:val="both"/>
        <w:rPr>
          <w:rFonts w:ascii="Times New Roman" w:hAnsi="Times New Roman"/>
          <w:sz w:val="28"/>
          <w:szCs w:val="28"/>
        </w:rPr>
      </w:pPr>
      <w:r w:rsidRPr="00D54985">
        <w:rPr>
          <w:rFonts w:ascii="Times New Roman" w:hAnsi="Times New Roman"/>
          <w:bCs/>
          <w:sz w:val="28"/>
          <w:szCs w:val="28"/>
        </w:rPr>
        <w:t xml:space="preserve">0410 «Связь и информатика» - </w:t>
      </w:r>
      <w:r w:rsidRPr="00D54985">
        <w:rPr>
          <w:rFonts w:ascii="Times New Roman" w:hAnsi="Times New Roman"/>
          <w:sz w:val="28"/>
          <w:szCs w:val="28"/>
        </w:rPr>
        <w:t>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при уточненном плане 463 055,29 рублей, исполнение составляет 449 253,83 рубля или 97,01%;</w:t>
      </w:r>
    </w:p>
    <w:p w:rsidR="00D54985" w:rsidRPr="00D54985" w:rsidRDefault="00D54985" w:rsidP="00117D77">
      <w:pPr>
        <w:pStyle w:val="a5"/>
        <w:spacing w:after="0" w:line="240" w:lineRule="auto"/>
        <w:ind w:left="0" w:firstLine="709"/>
        <w:jc w:val="both"/>
        <w:rPr>
          <w:rFonts w:ascii="Times New Roman" w:hAnsi="Times New Roman"/>
          <w:sz w:val="28"/>
          <w:szCs w:val="28"/>
        </w:rPr>
      </w:pPr>
      <w:r w:rsidRPr="00D54985">
        <w:rPr>
          <w:rFonts w:ascii="Times New Roman" w:hAnsi="Times New Roman"/>
          <w:sz w:val="28"/>
          <w:szCs w:val="28"/>
        </w:rPr>
        <w:t xml:space="preserve">По разделу </w:t>
      </w:r>
      <w:r w:rsidRPr="00D54985">
        <w:rPr>
          <w:rFonts w:ascii="Times New Roman" w:hAnsi="Times New Roman"/>
          <w:b/>
          <w:sz w:val="28"/>
          <w:szCs w:val="28"/>
        </w:rPr>
        <w:t xml:space="preserve">0500 «Жилищно-коммунальное хозяйство» </w:t>
      </w:r>
      <w:r w:rsidRPr="00D54985">
        <w:rPr>
          <w:rFonts w:ascii="Times New Roman" w:hAnsi="Times New Roman"/>
          <w:sz w:val="28"/>
          <w:szCs w:val="28"/>
        </w:rPr>
        <w:t>произведены расходы  на сумму 9 146 576,0 рублей при плановом назначении 10 537 211,79 рублей исполнение составляет 86,80 %.</w:t>
      </w:r>
    </w:p>
    <w:p w:rsidR="00D54985" w:rsidRPr="00D54985" w:rsidRDefault="00D54985" w:rsidP="00117D77">
      <w:pPr>
        <w:pStyle w:val="3"/>
        <w:spacing w:after="0" w:line="240" w:lineRule="auto"/>
        <w:ind w:firstLine="709"/>
        <w:jc w:val="both"/>
        <w:rPr>
          <w:rFonts w:ascii="Times New Roman" w:hAnsi="Times New Roman"/>
          <w:b/>
          <w:bCs/>
          <w:i/>
          <w:iCs/>
          <w:sz w:val="28"/>
          <w:szCs w:val="28"/>
        </w:rPr>
      </w:pPr>
      <w:r w:rsidRPr="00D54985">
        <w:rPr>
          <w:rFonts w:ascii="Times New Roman" w:hAnsi="Times New Roman"/>
          <w:sz w:val="28"/>
          <w:szCs w:val="28"/>
        </w:rPr>
        <w:t>В рамках произведенных расходов осуществлялось финансирование следующих подразделов:</w:t>
      </w:r>
    </w:p>
    <w:p w:rsidR="00D54985" w:rsidRPr="00D54985" w:rsidRDefault="00D54985" w:rsidP="00117D77">
      <w:pPr>
        <w:pStyle w:val="a5"/>
        <w:numPr>
          <w:ilvl w:val="0"/>
          <w:numId w:val="15"/>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t xml:space="preserve">0502 «Коммунальное хозяйство» по данному разделу отражаются средства, подлежащие возврату другим бюджетам бюджетной системы РФ, </w:t>
      </w:r>
      <w:proofErr w:type="gramStart"/>
      <w:r w:rsidRPr="00D54985">
        <w:rPr>
          <w:rFonts w:ascii="Times New Roman" w:hAnsi="Times New Roman"/>
          <w:sz w:val="28"/>
          <w:szCs w:val="28"/>
        </w:rPr>
        <w:t>согласно</w:t>
      </w:r>
      <w:proofErr w:type="gramEnd"/>
      <w:r w:rsidRPr="00D54985">
        <w:rPr>
          <w:rFonts w:ascii="Times New Roman" w:hAnsi="Times New Roman"/>
          <w:sz w:val="28"/>
          <w:szCs w:val="28"/>
        </w:rPr>
        <w:t xml:space="preserve"> заключенного соглашения. Расходы  за 2019 год </w:t>
      </w:r>
      <w:proofErr w:type="gramStart"/>
      <w:r w:rsidRPr="00D54985">
        <w:rPr>
          <w:rFonts w:ascii="Times New Roman" w:hAnsi="Times New Roman"/>
          <w:sz w:val="28"/>
          <w:szCs w:val="28"/>
        </w:rPr>
        <w:t>составили  1 901 582,49 рублей при плановом назначении 2 998 390,0 рублей исполнение составляет</w:t>
      </w:r>
      <w:proofErr w:type="gramEnd"/>
      <w:r w:rsidRPr="00D54985">
        <w:rPr>
          <w:rFonts w:ascii="Times New Roman" w:hAnsi="Times New Roman"/>
          <w:sz w:val="28"/>
          <w:szCs w:val="28"/>
        </w:rPr>
        <w:t xml:space="preserve"> 63,42%.</w:t>
      </w:r>
    </w:p>
    <w:p w:rsidR="00D54985" w:rsidRPr="00D54985" w:rsidRDefault="00D54985" w:rsidP="00117D77">
      <w:pPr>
        <w:pStyle w:val="a5"/>
        <w:numPr>
          <w:ilvl w:val="0"/>
          <w:numId w:val="15"/>
        </w:numPr>
        <w:spacing w:after="0" w:line="240" w:lineRule="auto"/>
        <w:ind w:left="0" w:firstLine="709"/>
        <w:jc w:val="both"/>
        <w:rPr>
          <w:rFonts w:ascii="Times New Roman" w:hAnsi="Times New Roman"/>
          <w:bCs/>
          <w:sz w:val="28"/>
          <w:szCs w:val="28"/>
        </w:rPr>
      </w:pPr>
      <w:r w:rsidRPr="00D54985">
        <w:rPr>
          <w:rFonts w:ascii="Times New Roman" w:hAnsi="Times New Roman"/>
          <w:bCs/>
          <w:sz w:val="28"/>
          <w:szCs w:val="28"/>
        </w:rPr>
        <w:t xml:space="preserve">0503 «Благоустройство» </w:t>
      </w:r>
      <w:r w:rsidRPr="00D54985">
        <w:rPr>
          <w:rFonts w:ascii="Times New Roman" w:hAnsi="Times New Roman"/>
          <w:sz w:val="28"/>
          <w:szCs w:val="28"/>
        </w:rPr>
        <w:t>в рамках данного подраздела отражаются расходы по следующим направлениям:</w:t>
      </w:r>
    </w:p>
    <w:p w:rsidR="00D54985" w:rsidRPr="00D54985" w:rsidRDefault="00D54985" w:rsidP="00117D77">
      <w:pPr>
        <w:pStyle w:val="a5"/>
        <w:numPr>
          <w:ilvl w:val="0"/>
          <w:numId w:val="16"/>
        </w:numPr>
        <w:tabs>
          <w:tab w:val="left" w:pos="993"/>
        </w:tabs>
        <w:spacing w:after="0" w:line="240" w:lineRule="auto"/>
        <w:ind w:left="0" w:firstLine="709"/>
        <w:jc w:val="both"/>
        <w:rPr>
          <w:rFonts w:ascii="Times New Roman" w:hAnsi="Times New Roman"/>
          <w:sz w:val="28"/>
          <w:szCs w:val="28"/>
        </w:rPr>
      </w:pPr>
      <w:r w:rsidRPr="00D54985">
        <w:rPr>
          <w:rFonts w:ascii="Times New Roman" w:hAnsi="Times New Roman"/>
          <w:sz w:val="28"/>
          <w:szCs w:val="28"/>
        </w:rPr>
        <w:t>мероприятия по уличному освещению, при плановых назначениях 1 650 615,28 рублей, исполнение составляет 1 356 787,00 рублей;</w:t>
      </w:r>
    </w:p>
    <w:p w:rsidR="00D54985" w:rsidRPr="00D54985" w:rsidRDefault="00D54985" w:rsidP="00117D77">
      <w:pPr>
        <w:pStyle w:val="a5"/>
        <w:numPr>
          <w:ilvl w:val="0"/>
          <w:numId w:val="16"/>
        </w:numPr>
        <w:tabs>
          <w:tab w:val="left" w:pos="993"/>
        </w:tabs>
        <w:spacing w:after="0" w:line="240" w:lineRule="auto"/>
        <w:ind w:left="0" w:firstLine="709"/>
        <w:jc w:val="both"/>
        <w:rPr>
          <w:rFonts w:ascii="Times New Roman" w:hAnsi="Times New Roman"/>
          <w:sz w:val="28"/>
          <w:szCs w:val="28"/>
        </w:rPr>
      </w:pPr>
      <w:r w:rsidRPr="00D54985">
        <w:rPr>
          <w:rFonts w:ascii="Times New Roman" w:hAnsi="Times New Roman"/>
          <w:sz w:val="28"/>
          <w:szCs w:val="28"/>
        </w:rPr>
        <w:t xml:space="preserve">санитарная очистка, при плановых назначениях 99 992,22 рублей, исполнение составляет 99 992,22 рублей; </w:t>
      </w:r>
    </w:p>
    <w:p w:rsidR="00D54985" w:rsidRPr="00D54985" w:rsidRDefault="00D54985" w:rsidP="00117D77">
      <w:pPr>
        <w:pStyle w:val="a5"/>
        <w:numPr>
          <w:ilvl w:val="0"/>
          <w:numId w:val="16"/>
        </w:numPr>
        <w:tabs>
          <w:tab w:val="left" w:pos="851"/>
        </w:tabs>
        <w:spacing w:after="0" w:line="240" w:lineRule="auto"/>
        <w:ind w:left="0" w:firstLine="709"/>
        <w:jc w:val="both"/>
        <w:rPr>
          <w:rFonts w:ascii="Times New Roman" w:hAnsi="Times New Roman"/>
          <w:i/>
          <w:iCs/>
          <w:sz w:val="28"/>
          <w:szCs w:val="28"/>
        </w:rPr>
      </w:pPr>
      <w:r w:rsidRPr="00D54985">
        <w:rPr>
          <w:rFonts w:ascii="Times New Roman" w:hAnsi="Times New Roman"/>
          <w:sz w:val="28"/>
          <w:szCs w:val="28"/>
        </w:rPr>
        <w:t xml:space="preserve">прочие мероприятия по благоустройству – исполнение составляет 4 824 152,29 рублей при плане 4 824 152,29 рублей. </w:t>
      </w:r>
    </w:p>
    <w:p w:rsidR="00D54985" w:rsidRPr="00D54985" w:rsidRDefault="00D54985" w:rsidP="00117D77">
      <w:pPr>
        <w:pStyle w:val="a5"/>
        <w:numPr>
          <w:ilvl w:val="0"/>
          <w:numId w:val="15"/>
        </w:numPr>
        <w:spacing w:after="0" w:line="240" w:lineRule="auto"/>
        <w:ind w:left="0" w:firstLine="709"/>
        <w:jc w:val="both"/>
        <w:rPr>
          <w:rFonts w:ascii="Times New Roman" w:hAnsi="Times New Roman"/>
          <w:sz w:val="28"/>
          <w:szCs w:val="28"/>
        </w:rPr>
      </w:pPr>
      <w:proofErr w:type="gramStart"/>
      <w:r w:rsidRPr="00D54985">
        <w:rPr>
          <w:rFonts w:ascii="Times New Roman" w:hAnsi="Times New Roman"/>
          <w:bCs/>
          <w:sz w:val="28"/>
          <w:szCs w:val="28"/>
        </w:rPr>
        <w:t xml:space="preserve">0505 «Другие вопросы в области жилищно-коммунального хозяйства» - </w:t>
      </w:r>
      <w:r w:rsidRPr="00D54985">
        <w:rPr>
          <w:rFonts w:ascii="Times New Roman" w:hAnsi="Times New Roman"/>
          <w:sz w:val="28"/>
          <w:szCs w:val="28"/>
        </w:rPr>
        <w:t>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D54985">
        <w:rPr>
          <w:rFonts w:ascii="Times New Roman" w:hAnsi="Times New Roman"/>
          <w:bCs/>
          <w:sz w:val="28"/>
          <w:szCs w:val="28"/>
        </w:rPr>
        <w:t xml:space="preserve">Об утверждении </w:t>
      </w:r>
      <w:r w:rsidRPr="00D54985">
        <w:rPr>
          <w:rFonts w:ascii="Times New Roman" w:hAnsi="Times New Roman"/>
          <w:sz w:val="28"/>
          <w:szCs w:val="28"/>
        </w:rPr>
        <w:t>Порядка</w:t>
      </w:r>
      <w:proofErr w:type="gramEnd"/>
      <w:r w:rsidRPr="00D54985">
        <w:rPr>
          <w:rFonts w:ascii="Times New Roman" w:hAnsi="Times New Roman"/>
          <w:sz w:val="28"/>
          <w:szCs w:val="28"/>
        </w:rPr>
        <w:t xml:space="preserve"> предоставления иных межбюджетных трансфертов из бюджета сельского поселения Мулымья». Расходы составил 358 001,00 рублей или 100% от плановых назначений.</w:t>
      </w:r>
    </w:p>
    <w:p w:rsidR="00D54985" w:rsidRPr="00D54985" w:rsidRDefault="00D54985" w:rsidP="00117D77">
      <w:pPr>
        <w:pStyle w:val="a5"/>
        <w:spacing w:after="0" w:line="240" w:lineRule="auto"/>
        <w:ind w:left="0" w:firstLine="709"/>
        <w:jc w:val="both"/>
        <w:rPr>
          <w:rFonts w:ascii="Times New Roman" w:hAnsi="Times New Roman"/>
          <w:sz w:val="28"/>
          <w:szCs w:val="28"/>
        </w:rPr>
      </w:pPr>
      <w:r w:rsidRPr="00D54985">
        <w:rPr>
          <w:rFonts w:ascii="Times New Roman" w:hAnsi="Times New Roman"/>
          <w:b/>
          <w:bCs/>
          <w:sz w:val="28"/>
          <w:szCs w:val="28"/>
        </w:rPr>
        <w:t xml:space="preserve">Раздел 0600 «Охрана окружающей среды» - </w:t>
      </w:r>
      <w:r w:rsidRPr="00D54985">
        <w:rPr>
          <w:rFonts w:ascii="Times New Roman" w:hAnsi="Times New Roman"/>
          <w:sz w:val="28"/>
          <w:szCs w:val="28"/>
        </w:rPr>
        <w:t>в рамках данного раздела отражаются расходы по подразделу 0605 «Другие вопросы в области охраны окружающей среды». Исполнение составляет 1 654,16 рубля или 100,0% от уточненного плана</w:t>
      </w:r>
    </w:p>
    <w:p w:rsidR="00D54985" w:rsidRPr="00D54985" w:rsidRDefault="00D54985" w:rsidP="00117D77">
      <w:pPr>
        <w:pStyle w:val="3"/>
        <w:spacing w:after="0" w:line="240" w:lineRule="auto"/>
        <w:ind w:firstLine="709"/>
        <w:jc w:val="both"/>
        <w:rPr>
          <w:rFonts w:ascii="Times New Roman" w:hAnsi="Times New Roman"/>
          <w:sz w:val="28"/>
          <w:szCs w:val="28"/>
        </w:rPr>
      </w:pPr>
      <w:r w:rsidRPr="00D54985">
        <w:rPr>
          <w:rFonts w:ascii="Times New Roman" w:hAnsi="Times New Roman"/>
          <w:b/>
          <w:bCs/>
          <w:sz w:val="28"/>
          <w:szCs w:val="28"/>
        </w:rPr>
        <w:t xml:space="preserve">Раздел 0700 «Образование» - </w:t>
      </w:r>
      <w:r w:rsidRPr="00D54985">
        <w:rPr>
          <w:rFonts w:ascii="Times New Roman" w:hAnsi="Times New Roman"/>
          <w:sz w:val="28"/>
          <w:szCs w:val="28"/>
        </w:rPr>
        <w:t>в рамках данного раздела отражаются расходы по подразделу 0707 «Молодежная политика и оздоровление детей». Исполнение составляет 256858,17 рубля или 97,71% от уточненного плана.</w:t>
      </w:r>
    </w:p>
    <w:p w:rsidR="00D54985" w:rsidRPr="00D54985" w:rsidRDefault="00D54985" w:rsidP="00117D77">
      <w:pPr>
        <w:spacing w:after="0" w:line="240" w:lineRule="auto"/>
        <w:ind w:firstLine="709"/>
        <w:jc w:val="both"/>
        <w:rPr>
          <w:rFonts w:ascii="Times New Roman" w:hAnsi="Times New Roman"/>
          <w:sz w:val="28"/>
          <w:szCs w:val="28"/>
        </w:rPr>
      </w:pPr>
      <w:r w:rsidRPr="00D54985">
        <w:rPr>
          <w:rFonts w:ascii="Times New Roman" w:hAnsi="Times New Roman"/>
          <w:b/>
          <w:bCs/>
          <w:sz w:val="28"/>
          <w:szCs w:val="28"/>
        </w:rPr>
        <w:t xml:space="preserve">Раздел 0800 «Культура, кинематография» - в рамках данного раздела осуществляются расходы по следующим подразделам </w:t>
      </w:r>
    </w:p>
    <w:p w:rsidR="00D54985" w:rsidRPr="00D54985" w:rsidRDefault="00D54985" w:rsidP="00117D77">
      <w:pPr>
        <w:pStyle w:val="a5"/>
        <w:numPr>
          <w:ilvl w:val="0"/>
          <w:numId w:val="17"/>
        </w:numPr>
        <w:spacing w:after="0" w:line="240" w:lineRule="auto"/>
        <w:ind w:left="0" w:firstLine="709"/>
        <w:jc w:val="both"/>
        <w:rPr>
          <w:rFonts w:ascii="Times New Roman" w:hAnsi="Times New Roman"/>
          <w:sz w:val="28"/>
          <w:szCs w:val="28"/>
        </w:rPr>
      </w:pPr>
      <w:r w:rsidRPr="00D54985">
        <w:rPr>
          <w:rFonts w:ascii="Times New Roman" w:hAnsi="Times New Roman"/>
          <w:sz w:val="28"/>
          <w:szCs w:val="28"/>
        </w:rPr>
        <w:lastRenderedPageBreak/>
        <w:t xml:space="preserve">0801 отражаются расходы на содержание Муниципального учреждения «Сельский центр культуры. ШАИМ» </w:t>
      </w:r>
      <w:proofErr w:type="gramStart"/>
      <w:r w:rsidRPr="00D54985">
        <w:rPr>
          <w:rFonts w:ascii="Times New Roman" w:hAnsi="Times New Roman"/>
          <w:sz w:val="28"/>
          <w:szCs w:val="28"/>
        </w:rPr>
        <w:t>который</w:t>
      </w:r>
      <w:proofErr w:type="gramEnd"/>
      <w:r w:rsidRPr="00D54985">
        <w:rPr>
          <w:rFonts w:ascii="Times New Roman" w:hAnsi="Times New Roman"/>
          <w:sz w:val="28"/>
          <w:szCs w:val="28"/>
        </w:rPr>
        <w:t xml:space="preserve"> является юридическим лицом, штатная численность  составляет 17,75 единиц. При плане 15 616 704,08 рублей исполнение за 2019 год составляет  15 606 867,08 рублей или 99,93 %.</w:t>
      </w:r>
    </w:p>
    <w:p w:rsidR="00D54985" w:rsidRPr="00D54985" w:rsidRDefault="00D54985" w:rsidP="00117D77">
      <w:pPr>
        <w:spacing w:after="0" w:line="240" w:lineRule="auto"/>
        <w:ind w:firstLine="709"/>
        <w:jc w:val="both"/>
        <w:rPr>
          <w:rFonts w:ascii="Times New Roman" w:hAnsi="Times New Roman"/>
          <w:bCs/>
          <w:sz w:val="28"/>
          <w:szCs w:val="28"/>
        </w:rPr>
      </w:pPr>
      <w:r w:rsidRPr="00D54985">
        <w:rPr>
          <w:rFonts w:ascii="Times New Roman" w:hAnsi="Times New Roman"/>
          <w:sz w:val="28"/>
          <w:szCs w:val="28"/>
        </w:rPr>
        <w:t xml:space="preserve">В рамках раздела </w:t>
      </w:r>
      <w:r w:rsidRPr="00D54985">
        <w:rPr>
          <w:rFonts w:ascii="Times New Roman" w:hAnsi="Times New Roman"/>
          <w:b/>
          <w:bCs/>
          <w:sz w:val="28"/>
          <w:szCs w:val="28"/>
        </w:rPr>
        <w:t xml:space="preserve">1000 «Социальная политика» </w:t>
      </w:r>
      <w:r w:rsidRPr="00D54985">
        <w:rPr>
          <w:rFonts w:ascii="Times New Roman" w:hAnsi="Times New Roman"/>
          <w:sz w:val="28"/>
          <w:szCs w:val="28"/>
        </w:rPr>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399 000,00 рублей.</w:t>
      </w:r>
    </w:p>
    <w:p w:rsidR="007700CA" w:rsidRPr="00D54985" w:rsidRDefault="007700CA" w:rsidP="007700CA">
      <w:pPr>
        <w:spacing w:after="0" w:line="240" w:lineRule="auto"/>
        <w:ind w:firstLine="426"/>
        <w:jc w:val="center"/>
        <w:rPr>
          <w:rFonts w:ascii="Times New Roman" w:hAnsi="Times New Roman"/>
          <w:sz w:val="28"/>
          <w:szCs w:val="28"/>
        </w:rPr>
      </w:pPr>
    </w:p>
    <w:p w:rsidR="00117D77" w:rsidRDefault="00117D77" w:rsidP="00AD2090">
      <w:pPr>
        <w:autoSpaceDE w:val="0"/>
        <w:autoSpaceDN w:val="0"/>
        <w:adjustRightInd w:val="0"/>
        <w:spacing w:after="0" w:line="360" w:lineRule="auto"/>
        <w:ind w:firstLine="426"/>
        <w:jc w:val="both"/>
        <w:rPr>
          <w:rFonts w:ascii="Times New Roman" w:hAnsi="Times New Roman"/>
          <w:sz w:val="28"/>
          <w:szCs w:val="28"/>
        </w:rPr>
      </w:pPr>
    </w:p>
    <w:p w:rsidR="00117D77" w:rsidRDefault="00117D77" w:rsidP="00AD2090">
      <w:pPr>
        <w:autoSpaceDE w:val="0"/>
        <w:autoSpaceDN w:val="0"/>
        <w:adjustRightInd w:val="0"/>
        <w:spacing w:after="0" w:line="360" w:lineRule="auto"/>
        <w:ind w:firstLine="426"/>
        <w:jc w:val="both"/>
        <w:rPr>
          <w:rFonts w:ascii="Times New Roman" w:hAnsi="Times New Roman"/>
          <w:sz w:val="28"/>
          <w:szCs w:val="28"/>
        </w:rPr>
      </w:pPr>
    </w:p>
    <w:p w:rsidR="00044AC7" w:rsidRPr="00D54985" w:rsidRDefault="00044AC7" w:rsidP="00AD2090">
      <w:pPr>
        <w:autoSpaceDE w:val="0"/>
        <w:autoSpaceDN w:val="0"/>
        <w:adjustRightInd w:val="0"/>
        <w:spacing w:after="0" w:line="360" w:lineRule="auto"/>
        <w:ind w:firstLine="426"/>
        <w:jc w:val="both"/>
        <w:rPr>
          <w:rFonts w:ascii="Times New Roman" w:hAnsi="Times New Roman"/>
          <w:sz w:val="28"/>
          <w:szCs w:val="28"/>
        </w:rPr>
      </w:pPr>
      <w:r w:rsidRPr="00D54985">
        <w:rPr>
          <w:rFonts w:ascii="Times New Roman" w:hAnsi="Times New Roman"/>
          <w:sz w:val="28"/>
          <w:szCs w:val="28"/>
        </w:rPr>
        <w:t>Глава</w:t>
      </w:r>
      <w:r w:rsidR="00D54985" w:rsidRPr="00D54985">
        <w:rPr>
          <w:rFonts w:ascii="Times New Roman" w:hAnsi="Times New Roman"/>
          <w:sz w:val="28"/>
          <w:szCs w:val="28"/>
        </w:rPr>
        <w:t xml:space="preserve"> </w:t>
      </w:r>
      <w:r w:rsidRPr="00D54985">
        <w:rPr>
          <w:rFonts w:ascii="Times New Roman" w:hAnsi="Times New Roman"/>
          <w:sz w:val="28"/>
          <w:szCs w:val="28"/>
        </w:rPr>
        <w:t>сельского</w:t>
      </w:r>
      <w:r w:rsidR="00D54985" w:rsidRPr="00D54985">
        <w:rPr>
          <w:rFonts w:ascii="Times New Roman" w:hAnsi="Times New Roman"/>
          <w:sz w:val="28"/>
          <w:szCs w:val="28"/>
        </w:rPr>
        <w:t xml:space="preserve"> </w:t>
      </w:r>
      <w:r w:rsidRPr="00D54985">
        <w:rPr>
          <w:rFonts w:ascii="Times New Roman" w:hAnsi="Times New Roman"/>
          <w:sz w:val="28"/>
          <w:szCs w:val="28"/>
        </w:rPr>
        <w:t>поселения</w:t>
      </w:r>
      <w:r w:rsidR="00D54985" w:rsidRPr="00D54985">
        <w:rPr>
          <w:rFonts w:ascii="Times New Roman" w:hAnsi="Times New Roman"/>
          <w:sz w:val="28"/>
          <w:szCs w:val="28"/>
        </w:rPr>
        <w:t xml:space="preserve"> </w:t>
      </w:r>
      <w:r w:rsidRPr="00D54985">
        <w:rPr>
          <w:rFonts w:ascii="Times New Roman" w:hAnsi="Times New Roman"/>
          <w:sz w:val="28"/>
          <w:szCs w:val="28"/>
        </w:rPr>
        <w:t>Мулымья</w:t>
      </w:r>
      <w:r w:rsidR="00D54985" w:rsidRPr="00D54985">
        <w:rPr>
          <w:rFonts w:ascii="Times New Roman" w:hAnsi="Times New Roman"/>
          <w:sz w:val="28"/>
          <w:szCs w:val="28"/>
        </w:rPr>
        <w:t xml:space="preserve">                                    </w:t>
      </w:r>
      <w:r w:rsidRPr="00D54985">
        <w:rPr>
          <w:rFonts w:ascii="Times New Roman" w:hAnsi="Times New Roman"/>
          <w:sz w:val="28"/>
          <w:szCs w:val="28"/>
        </w:rPr>
        <w:t>Е.В.Белослудцев</w:t>
      </w:r>
    </w:p>
    <w:p w:rsidR="00044AC7" w:rsidRPr="00D54985" w:rsidRDefault="00044AC7" w:rsidP="00AD2090">
      <w:pPr>
        <w:autoSpaceDE w:val="0"/>
        <w:autoSpaceDN w:val="0"/>
        <w:adjustRightInd w:val="0"/>
        <w:spacing w:after="0" w:line="360" w:lineRule="auto"/>
        <w:ind w:firstLine="426"/>
        <w:jc w:val="both"/>
        <w:rPr>
          <w:rFonts w:ascii="Times New Roman" w:hAnsi="Times New Roman"/>
          <w:sz w:val="28"/>
          <w:szCs w:val="28"/>
        </w:rPr>
      </w:pPr>
    </w:p>
    <w:p w:rsidR="00044AC7" w:rsidRPr="00D54985" w:rsidRDefault="00044AC7" w:rsidP="00AD2090">
      <w:pPr>
        <w:autoSpaceDE w:val="0"/>
        <w:autoSpaceDN w:val="0"/>
        <w:adjustRightInd w:val="0"/>
        <w:spacing w:after="0" w:line="360" w:lineRule="auto"/>
        <w:ind w:firstLine="426"/>
        <w:jc w:val="both"/>
        <w:rPr>
          <w:rFonts w:ascii="Times New Roman" w:hAnsi="Times New Roman"/>
          <w:sz w:val="28"/>
          <w:szCs w:val="28"/>
        </w:rPr>
      </w:pPr>
      <w:r w:rsidRPr="00D54985">
        <w:rPr>
          <w:rFonts w:ascii="Times New Roman" w:hAnsi="Times New Roman"/>
          <w:sz w:val="28"/>
          <w:szCs w:val="28"/>
        </w:rPr>
        <w:t>Начальник</w:t>
      </w:r>
      <w:r w:rsidR="00D54985" w:rsidRPr="00D54985">
        <w:rPr>
          <w:rFonts w:ascii="Times New Roman" w:hAnsi="Times New Roman"/>
          <w:sz w:val="28"/>
          <w:szCs w:val="28"/>
        </w:rPr>
        <w:t xml:space="preserve"> </w:t>
      </w:r>
      <w:r w:rsidRPr="00D54985">
        <w:rPr>
          <w:rFonts w:ascii="Times New Roman" w:hAnsi="Times New Roman"/>
          <w:sz w:val="28"/>
          <w:szCs w:val="28"/>
        </w:rPr>
        <w:t>финансово-экономического</w:t>
      </w:r>
      <w:r w:rsidR="00D54985" w:rsidRPr="00D54985">
        <w:rPr>
          <w:rFonts w:ascii="Times New Roman" w:hAnsi="Times New Roman"/>
          <w:sz w:val="28"/>
          <w:szCs w:val="28"/>
        </w:rPr>
        <w:t xml:space="preserve"> </w:t>
      </w:r>
      <w:r w:rsidRPr="00D54985">
        <w:rPr>
          <w:rFonts w:ascii="Times New Roman" w:hAnsi="Times New Roman"/>
          <w:sz w:val="28"/>
          <w:szCs w:val="28"/>
        </w:rPr>
        <w:t>отдела</w:t>
      </w:r>
      <w:r w:rsidR="008413B7" w:rsidRPr="00D54985">
        <w:rPr>
          <w:rFonts w:ascii="Times New Roman" w:hAnsi="Times New Roman"/>
          <w:sz w:val="28"/>
          <w:szCs w:val="28"/>
        </w:rPr>
        <w:t xml:space="preserve">                       А.И. Белоусова</w:t>
      </w:r>
    </w:p>
    <w:sectPr w:rsidR="00044AC7" w:rsidRPr="00D54985" w:rsidSect="00117D77">
      <w:pgSz w:w="11906" w:h="16838"/>
      <w:pgMar w:top="1134" w:right="850"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A75"/>
    <w:multiLevelType w:val="hybridMultilevel"/>
    <w:tmpl w:val="C80E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207FB2"/>
    <w:multiLevelType w:val="hybridMultilevel"/>
    <w:tmpl w:val="D958A31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037363"/>
    <w:multiLevelType w:val="multilevel"/>
    <w:tmpl w:val="D3C6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26E72"/>
    <w:multiLevelType w:val="hybridMultilevel"/>
    <w:tmpl w:val="249E317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38D0B2E"/>
    <w:multiLevelType w:val="hybridMultilevel"/>
    <w:tmpl w:val="F19A210A"/>
    <w:lvl w:ilvl="0" w:tplc="0B0404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70859"/>
    <w:multiLevelType w:val="multilevel"/>
    <w:tmpl w:val="B808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9193B"/>
    <w:multiLevelType w:val="hybridMultilevel"/>
    <w:tmpl w:val="1F487D2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nsid w:val="44FF262B"/>
    <w:multiLevelType w:val="hybridMultilevel"/>
    <w:tmpl w:val="F3D86FB0"/>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3680D"/>
    <w:multiLevelType w:val="hybridMultilevel"/>
    <w:tmpl w:val="D74AB8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687DCD"/>
    <w:multiLevelType w:val="hybridMultilevel"/>
    <w:tmpl w:val="82E8A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EA0631"/>
    <w:multiLevelType w:val="multilevel"/>
    <w:tmpl w:val="788878D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3D16B8"/>
    <w:multiLevelType w:val="hybridMultilevel"/>
    <w:tmpl w:val="D812E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6340A"/>
    <w:multiLevelType w:val="multilevel"/>
    <w:tmpl w:val="CC7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7"/>
  </w:num>
  <w:num w:numId="6">
    <w:abstractNumId w:val="15"/>
  </w:num>
  <w:num w:numId="7">
    <w:abstractNumId w:val="2"/>
  </w:num>
  <w:num w:numId="8">
    <w:abstractNumId w:val="6"/>
  </w:num>
  <w:num w:numId="9">
    <w:abstractNumId w:val="11"/>
  </w:num>
  <w:num w:numId="10">
    <w:abstractNumId w:val="5"/>
  </w:num>
  <w:num w:numId="11">
    <w:abstractNumId w:val="14"/>
  </w:num>
  <w:num w:numId="12">
    <w:abstractNumId w:val="12"/>
  </w:num>
  <w:num w:numId="13">
    <w:abstractNumId w:val="0"/>
  </w:num>
  <w:num w:numId="14">
    <w:abstractNumId w:val="8"/>
  </w:num>
  <w:num w:numId="15">
    <w:abstractNumId w:val="18"/>
  </w:num>
  <w:num w:numId="16">
    <w:abstractNumId w:val="17"/>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D74"/>
    <w:rsid w:val="00000705"/>
    <w:rsid w:val="00000E25"/>
    <w:rsid w:val="00004775"/>
    <w:rsid w:val="0000704C"/>
    <w:rsid w:val="00010625"/>
    <w:rsid w:val="00011C7C"/>
    <w:rsid w:val="00012EF5"/>
    <w:rsid w:val="00016B00"/>
    <w:rsid w:val="00016B4C"/>
    <w:rsid w:val="00020616"/>
    <w:rsid w:val="00021038"/>
    <w:rsid w:val="00021422"/>
    <w:rsid w:val="00021842"/>
    <w:rsid w:val="0002334C"/>
    <w:rsid w:val="000276D0"/>
    <w:rsid w:val="0003109D"/>
    <w:rsid w:val="0003121B"/>
    <w:rsid w:val="0003263B"/>
    <w:rsid w:val="0003398B"/>
    <w:rsid w:val="00036221"/>
    <w:rsid w:val="00040F76"/>
    <w:rsid w:val="00041F1B"/>
    <w:rsid w:val="00044AC7"/>
    <w:rsid w:val="00050781"/>
    <w:rsid w:val="00063CCA"/>
    <w:rsid w:val="00067B1F"/>
    <w:rsid w:val="00077E0F"/>
    <w:rsid w:val="000837F8"/>
    <w:rsid w:val="0008564E"/>
    <w:rsid w:val="00090EBD"/>
    <w:rsid w:val="00093A93"/>
    <w:rsid w:val="00094299"/>
    <w:rsid w:val="00097192"/>
    <w:rsid w:val="000A2771"/>
    <w:rsid w:val="000A3A8C"/>
    <w:rsid w:val="000A433C"/>
    <w:rsid w:val="000A5F5D"/>
    <w:rsid w:val="000A7E91"/>
    <w:rsid w:val="000B706C"/>
    <w:rsid w:val="000C06D7"/>
    <w:rsid w:val="000C0A3E"/>
    <w:rsid w:val="000C3445"/>
    <w:rsid w:val="000C5CF8"/>
    <w:rsid w:val="000C6F3E"/>
    <w:rsid w:val="000D1496"/>
    <w:rsid w:val="000D2328"/>
    <w:rsid w:val="000D4468"/>
    <w:rsid w:val="000D6B33"/>
    <w:rsid w:val="000E1A98"/>
    <w:rsid w:val="000E2938"/>
    <w:rsid w:val="000E29E8"/>
    <w:rsid w:val="000E41A9"/>
    <w:rsid w:val="000E7877"/>
    <w:rsid w:val="000F212E"/>
    <w:rsid w:val="000F462E"/>
    <w:rsid w:val="000F5251"/>
    <w:rsid w:val="000F62F7"/>
    <w:rsid w:val="000F63A4"/>
    <w:rsid w:val="00102213"/>
    <w:rsid w:val="00103514"/>
    <w:rsid w:val="00105442"/>
    <w:rsid w:val="00110518"/>
    <w:rsid w:val="0011068F"/>
    <w:rsid w:val="00113406"/>
    <w:rsid w:val="00113455"/>
    <w:rsid w:val="00117D77"/>
    <w:rsid w:val="00124B83"/>
    <w:rsid w:val="00124F66"/>
    <w:rsid w:val="00130CE2"/>
    <w:rsid w:val="00131F58"/>
    <w:rsid w:val="00132169"/>
    <w:rsid w:val="0013460D"/>
    <w:rsid w:val="00135D0E"/>
    <w:rsid w:val="00136EA6"/>
    <w:rsid w:val="00140044"/>
    <w:rsid w:val="001413C3"/>
    <w:rsid w:val="001426E4"/>
    <w:rsid w:val="00142895"/>
    <w:rsid w:val="00147D74"/>
    <w:rsid w:val="00152938"/>
    <w:rsid w:val="00153F3F"/>
    <w:rsid w:val="00154F6B"/>
    <w:rsid w:val="00155B7B"/>
    <w:rsid w:val="0015738C"/>
    <w:rsid w:val="00160FA4"/>
    <w:rsid w:val="001645AC"/>
    <w:rsid w:val="00165353"/>
    <w:rsid w:val="001741CB"/>
    <w:rsid w:val="00174FF2"/>
    <w:rsid w:val="00175960"/>
    <w:rsid w:val="00176613"/>
    <w:rsid w:val="00177080"/>
    <w:rsid w:val="00177797"/>
    <w:rsid w:val="00182F1F"/>
    <w:rsid w:val="00183237"/>
    <w:rsid w:val="00192803"/>
    <w:rsid w:val="0019291B"/>
    <w:rsid w:val="00192F8A"/>
    <w:rsid w:val="00193A0F"/>
    <w:rsid w:val="00194FAE"/>
    <w:rsid w:val="001965A8"/>
    <w:rsid w:val="00197018"/>
    <w:rsid w:val="001A20FB"/>
    <w:rsid w:val="001A4EE6"/>
    <w:rsid w:val="001A7CC5"/>
    <w:rsid w:val="001A7E21"/>
    <w:rsid w:val="001B02BE"/>
    <w:rsid w:val="001B4DF1"/>
    <w:rsid w:val="001B5AEA"/>
    <w:rsid w:val="001B7F5B"/>
    <w:rsid w:val="001C1E8A"/>
    <w:rsid w:val="001C45AA"/>
    <w:rsid w:val="001D20DB"/>
    <w:rsid w:val="001D3F5B"/>
    <w:rsid w:val="001D6DCA"/>
    <w:rsid w:val="001D7D57"/>
    <w:rsid w:val="001E33FB"/>
    <w:rsid w:val="001E45A0"/>
    <w:rsid w:val="001E55D6"/>
    <w:rsid w:val="001E69BF"/>
    <w:rsid w:val="001F10A4"/>
    <w:rsid w:val="001F56C0"/>
    <w:rsid w:val="00202F46"/>
    <w:rsid w:val="00203142"/>
    <w:rsid w:val="0021005F"/>
    <w:rsid w:val="00211962"/>
    <w:rsid w:val="00214051"/>
    <w:rsid w:val="00214A8B"/>
    <w:rsid w:val="002152C5"/>
    <w:rsid w:val="00215F38"/>
    <w:rsid w:val="002206DE"/>
    <w:rsid w:val="00220A60"/>
    <w:rsid w:val="00220A64"/>
    <w:rsid w:val="0022249D"/>
    <w:rsid w:val="00222C0B"/>
    <w:rsid w:val="002267C7"/>
    <w:rsid w:val="00231D0A"/>
    <w:rsid w:val="002330D7"/>
    <w:rsid w:val="00234F41"/>
    <w:rsid w:val="002407F2"/>
    <w:rsid w:val="00244D11"/>
    <w:rsid w:val="00245671"/>
    <w:rsid w:val="002456CF"/>
    <w:rsid w:val="002460EC"/>
    <w:rsid w:val="00250610"/>
    <w:rsid w:val="00253EC5"/>
    <w:rsid w:val="00261724"/>
    <w:rsid w:val="002617AF"/>
    <w:rsid w:val="00264C9F"/>
    <w:rsid w:val="00271410"/>
    <w:rsid w:val="0027378A"/>
    <w:rsid w:val="00274F85"/>
    <w:rsid w:val="002812D1"/>
    <w:rsid w:val="00281690"/>
    <w:rsid w:val="002832D7"/>
    <w:rsid w:val="002878C8"/>
    <w:rsid w:val="00291ED6"/>
    <w:rsid w:val="00292503"/>
    <w:rsid w:val="002A0A5F"/>
    <w:rsid w:val="002A66AA"/>
    <w:rsid w:val="002B3BBA"/>
    <w:rsid w:val="002B4BB9"/>
    <w:rsid w:val="002B6247"/>
    <w:rsid w:val="002B6593"/>
    <w:rsid w:val="002C0A65"/>
    <w:rsid w:val="002C1AF9"/>
    <w:rsid w:val="002C1E07"/>
    <w:rsid w:val="002C4D5F"/>
    <w:rsid w:val="002C6825"/>
    <w:rsid w:val="002C6B11"/>
    <w:rsid w:val="002C7CF3"/>
    <w:rsid w:val="002D34F3"/>
    <w:rsid w:val="002D483F"/>
    <w:rsid w:val="002D7DF5"/>
    <w:rsid w:val="002E17C2"/>
    <w:rsid w:val="002E22D4"/>
    <w:rsid w:val="002E2B45"/>
    <w:rsid w:val="002E59AC"/>
    <w:rsid w:val="002F12D8"/>
    <w:rsid w:val="002F6680"/>
    <w:rsid w:val="002F66FC"/>
    <w:rsid w:val="002F6F6F"/>
    <w:rsid w:val="00300017"/>
    <w:rsid w:val="0030109F"/>
    <w:rsid w:val="003026FE"/>
    <w:rsid w:val="00304A93"/>
    <w:rsid w:val="0030526C"/>
    <w:rsid w:val="00305956"/>
    <w:rsid w:val="0031458C"/>
    <w:rsid w:val="00317057"/>
    <w:rsid w:val="00322247"/>
    <w:rsid w:val="0032246F"/>
    <w:rsid w:val="00324111"/>
    <w:rsid w:val="00330D91"/>
    <w:rsid w:val="00332DB7"/>
    <w:rsid w:val="0033402B"/>
    <w:rsid w:val="00334A48"/>
    <w:rsid w:val="00335F3C"/>
    <w:rsid w:val="00337D33"/>
    <w:rsid w:val="0034600E"/>
    <w:rsid w:val="0035054B"/>
    <w:rsid w:val="00354829"/>
    <w:rsid w:val="003573D1"/>
    <w:rsid w:val="00357441"/>
    <w:rsid w:val="00366205"/>
    <w:rsid w:val="00370D19"/>
    <w:rsid w:val="003710DA"/>
    <w:rsid w:val="00372416"/>
    <w:rsid w:val="00377BAA"/>
    <w:rsid w:val="003925A2"/>
    <w:rsid w:val="00397446"/>
    <w:rsid w:val="0039798C"/>
    <w:rsid w:val="00397CD6"/>
    <w:rsid w:val="003A202B"/>
    <w:rsid w:val="003A3F5F"/>
    <w:rsid w:val="003A49A7"/>
    <w:rsid w:val="003A540D"/>
    <w:rsid w:val="003A6092"/>
    <w:rsid w:val="003A68AE"/>
    <w:rsid w:val="003B3DDE"/>
    <w:rsid w:val="003B3E8A"/>
    <w:rsid w:val="003B5B3F"/>
    <w:rsid w:val="003C08A7"/>
    <w:rsid w:val="003C187B"/>
    <w:rsid w:val="003C2A48"/>
    <w:rsid w:val="003C3313"/>
    <w:rsid w:val="003C438A"/>
    <w:rsid w:val="003C57B7"/>
    <w:rsid w:val="003C5B07"/>
    <w:rsid w:val="003C5CE0"/>
    <w:rsid w:val="003C677F"/>
    <w:rsid w:val="003C67C3"/>
    <w:rsid w:val="003D3C76"/>
    <w:rsid w:val="003D5476"/>
    <w:rsid w:val="003D5590"/>
    <w:rsid w:val="003E12EF"/>
    <w:rsid w:val="003E1C27"/>
    <w:rsid w:val="003E24EA"/>
    <w:rsid w:val="003E2A6E"/>
    <w:rsid w:val="003E5651"/>
    <w:rsid w:val="003E7E18"/>
    <w:rsid w:val="003F0E5A"/>
    <w:rsid w:val="003F537E"/>
    <w:rsid w:val="003F7BD3"/>
    <w:rsid w:val="004016F7"/>
    <w:rsid w:val="0040270E"/>
    <w:rsid w:val="00404C80"/>
    <w:rsid w:val="00406F9A"/>
    <w:rsid w:val="00413672"/>
    <w:rsid w:val="00413D58"/>
    <w:rsid w:val="00421596"/>
    <w:rsid w:val="0042171C"/>
    <w:rsid w:val="004223D1"/>
    <w:rsid w:val="00424CF9"/>
    <w:rsid w:val="004325ED"/>
    <w:rsid w:val="00432935"/>
    <w:rsid w:val="00434A3D"/>
    <w:rsid w:val="004365AD"/>
    <w:rsid w:val="00437D77"/>
    <w:rsid w:val="00441F7C"/>
    <w:rsid w:val="00443D17"/>
    <w:rsid w:val="00444445"/>
    <w:rsid w:val="00444547"/>
    <w:rsid w:val="00445374"/>
    <w:rsid w:val="00445AB5"/>
    <w:rsid w:val="00446117"/>
    <w:rsid w:val="0044723B"/>
    <w:rsid w:val="00447574"/>
    <w:rsid w:val="004534DF"/>
    <w:rsid w:val="00453C6F"/>
    <w:rsid w:val="00454DA3"/>
    <w:rsid w:val="00455E77"/>
    <w:rsid w:val="004601A5"/>
    <w:rsid w:val="00462F71"/>
    <w:rsid w:val="0046402D"/>
    <w:rsid w:val="004652F1"/>
    <w:rsid w:val="004654EB"/>
    <w:rsid w:val="00466094"/>
    <w:rsid w:val="00466BCD"/>
    <w:rsid w:val="00470393"/>
    <w:rsid w:val="00470436"/>
    <w:rsid w:val="00472747"/>
    <w:rsid w:val="0047553B"/>
    <w:rsid w:val="00481C20"/>
    <w:rsid w:val="004850AF"/>
    <w:rsid w:val="00486AC5"/>
    <w:rsid w:val="004903F1"/>
    <w:rsid w:val="004909BD"/>
    <w:rsid w:val="00495782"/>
    <w:rsid w:val="00496A8E"/>
    <w:rsid w:val="004A0CC6"/>
    <w:rsid w:val="004A139A"/>
    <w:rsid w:val="004A1442"/>
    <w:rsid w:val="004A2BDB"/>
    <w:rsid w:val="004A5220"/>
    <w:rsid w:val="004A5EA1"/>
    <w:rsid w:val="004B12EA"/>
    <w:rsid w:val="004B2982"/>
    <w:rsid w:val="004B2ED0"/>
    <w:rsid w:val="004B45C7"/>
    <w:rsid w:val="004B5D11"/>
    <w:rsid w:val="004B73DB"/>
    <w:rsid w:val="004B7AF3"/>
    <w:rsid w:val="004C0BB6"/>
    <w:rsid w:val="004C4581"/>
    <w:rsid w:val="004D36FE"/>
    <w:rsid w:val="004D39A1"/>
    <w:rsid w:val="004D62ED"/>
    <w:rsid w:val="004D691B"/>
    <w:rsid w:val="004D6B58"/>
    <w:rsid w:val="004E4ED2"/>
    <w:rsid w:val="004E5784"/>
    <w:rsid w:val="004E6CFF"/>
    <w:rsid w:val="004E6D42"/>
    <w:rsid w:val="004F54E7"/>
    <w:rsid w:val="0050079A"/>
    <w:rsid w:val="00501828"/>
    <w:rsid w:val="0050657E"/>
    <w:rsid w:val="005111D8"/>
    <w:rsid w:val="0051198D"/>
    <w:rsid w:val="00517695"/>
    <w:rsid w:val="0052179B"/>
    <w:rsid w:val="005223CF"/>
    <w:rsid w:val="0052526B"/>
    <w:rsid w:val="00525C9A"/>
    <w:rsid w:val="00526065"/>
    <w:rsid w:val="00527EA2"/>
    <w:rsid w:val="00532240"/>
    <w:rsid w:val="00533B63"/>
    <w:rsid w:val="005340CF"/>
    <w:rsid w:val="0053573B"/>
    <w:rsid w:val="00535845"/>
    <w:rsid w:val="005370F1"/>
    <w:rsid w:val="005515B3"/>
    <w:rsid w:val="00553922"/>
    <w:rsid w:val="005550B2"/>
    <w:rsid w:val="0055609C"/>
    <w:rsid w:val="00556D74"/>
    <w:rsid w:val="00557565"/>
    <w:rsid w:val="00565291"/>
    <w:rsid w:val="005660C4"/>
    <w:rsid w:val="0056741A"/>
    <w:rsid w:val="005709A1"/>
    <w:rsid w:val="005727D5"/>
    <w:rsid w:val="005734FA"/>
    <w:rsid w:val="00573A9E"/>
    <w:rsid w:val="00573D22"/>
    <w:rsid w:val="0057698A"/>
    <w:rsid w:val="00582CD2"/>
    <w:rsid w:val="00584441"/>
    <w:rsid w:val="0058459D"/>
    <w:rsid w:val="005866B8"/>
    <w:rsid w:val="00587546"/>
    <w:rsid w:val="005A23F6"/>
    <w:rsid w:val="005A79B6"/>
    <w:rsid w:val="005B1D1B"/>
    <w:rsid w:val="005B3E48"/>
    <w:rsid w:val="005B5F23"/>
    <w:rsid w:val="005B64B3"/>
    <w:rsid w:val="005C48B1"/>
    <w:rsid w:val="005C56DE"/>
    <w:rsid w:val="005C660F"/>
    <w:rsid w:val="005D070B"/>
    <w:rsid w:val="005D0777"/>
    <w:rsid w:val="005D4900"/>
    <w:rsid w:val="005D5339"/>
    <w:rsid w:val="005D5B05"/>
    <w:rsid w:val="005E08FE"/>
    <w:rsid w:val="005E36A7"/>
    <w:rsid w:val="005E631B"/>
    <w:rsid w:val="005E6790"/>
    <w:rsid w:val="005F0C6A"/>
    <w:rsid w:val="005F297F"/>
    <w:rsid w:val="005F2BE1"/>
    <w:rsid w:val="005F3F14"/>
    <w:rsid w:val="005F4123"/>
    <w:rsid w:val="005F4BFB"/>
    <w:rsid w:val="005F7C70"/>
    <w:rsid w:val="00600CD3"/>
    <w:rsid w:val="00600FD3"/>
    <w:rsid w:val="006030AD"/>
    <w:rsid w:val="00604D5B"/>
    <w:rsid w:val="00605403"/>
    <w:rsid w:val="00610C20"/>
    <w:rsid w:val="00610E1E"/>
    <w:rsid w:val="00611A92"/>
    <w:rsid w:val="00611D25"/>
    <w:rsid w:val="00617E35"/>
    <w:rsid w:val="00620AD7"/>
    <w:rsid w:val="00623256"/>
    <w:rsid w:val="0062541E"/>
    <w:rsid w:val="00625AD2"/>
    <w:rsid w:val="00636206"/>
    <w:rsid w:val="006365A8"/>
    <w:rsid w:val="006403F0"/>
    <w:rsid w:val="00642BF5"/>
    <w:rsid w:val="00642C8B"/>
    <w:rsid w:val="00642F38"/>
    <w:rsid w:val="006435CF"/>
    <w:rsid w:val="00646BBE"/>
    <w:rsid w:val="00650665"/>
    <w:rsid w:val="00651A8D"/>
    <w:rsid w:val="006532D5"/>
    <w:rsid w:val="00665647"/>
    <w:rsid w:val="00671716"/>
    <w:rsid w:val="0067487F"/>
    <w:rsid w:val="00674D33"/>
    <w:rsid w:val="006774F4"/>
    <w:rsid w:val="00677B56"/>
    <w:rsid w:val="00681932"/>
    <w:rsid w:val="00682429"/>
    <w:rsid w:val="00682AB6"/>
    <w:rsid w:val="006908A8"/>
    <w:rsid w:val="006920B1"/>
    <w:rsid w:val="00692A28"/>
    <w:rsid w:val="00695907"/>
    <w:rsid w:val="006961E3"/>
    <w:rsid w:val="00697A20"/>
    <w:rsid w:val="006A0162"/>
    <w:rsid w:val="006A05A0"/>
    <w:rsid w:val="006A09F6"/>
    <w:rsid w:val="006A1061"/>
    <w:rsid w:val="006A70E8"/>
    <w:rsid w:val="006B2698"/>
    <w:rsid w:val="006B3F04"/>
    <w:rsid w:val="006B47F2"/>
    <w:rsid w:val="006B5368"/>
    <w:rsid w:val="006B70FE"/>
    <w:rsid w:val="006D073D"/>
    <w:rsid w:val="006D1AF2"/>
    <w:rsid w:val="006D2DE5"/>
    <w:rsid w:val="006D2EBA"/>
    <w:rsid w:val="006D695F"/>
    <w:rsid w:val="006E1841"/>
    <w:rsid w:val="006E347D"/>
    <w:rsid w:val="006E6264"/>
    <w:rsid w:val="006E6FA6"/>
    <w:rsid w:val="006F4EB0"/>
    <w:rsid w:val="007006F4"/>
    <w:rsid w:val="0070373F"/>
    <w:rsid w:val="00704C3B"/>
    <w:rsid w:val="0071131A"/>
    <w:rsid w:val="007167E4"/>
    <w:rsid w:val="0072128C"/>
    <w:rsid w:val="00727522"/>
    <w:rsid w:val="00730111"/>
    <w:rsid w:val="007308DB"/>
    <w:rsid w:val="00731833"/>
    <w:rsid w:val="00731FDC"/>
    <w:rsid w:val="00733179"/>
    <w:rsid w:val="00734170"/>
    <w:rsid w:val="00740965"/>
    <w:rsid w:val="00740E15"/>
    <w:rsid w:val="00741462"/>
    <w:rsid w:val="00741795"/>
    <w:rsid w:val="00743972"/>
    <w:rsid w:val="00743CDE"/>
    <w:rsid w:val="00743FD4"/>
    <w:rsid w:val="007456DB"/>
    <w:rsid w:val="007513F2"/>
    <w:rsid w:val="0075368A"/>
    <w:rsid w:val="007544BD"/>
    <w:rsid w:val="007556C8"/>
    <w:rsid w:val="00755B12"/>
    <w:rsid w:val="00762A28"/>
    <w:rsid w:val="00763CEC"/>
    <w:rsid w:val="00764A77"/>
    <w:rsid w:val="0076773D"/>
    <w:rsid w:val="007700CA"/>
    <w:rsid w:val="00771A55"/>
    <w:rsid w:val="00773C5E"/>
    <w:rsid w:val="00774014"/>
    <w:rsid w:val="00774C11"/>
    <w:rsid w:val="00774D3C"/>
    <w:rsid w:val="007772EA"/>
    <w:rsid w:val="007834BF"/>
    <w:rsid w:val="00783D95"/>
    <w:rsid w:val="0078694D"/>
    <w:rsid w:val="007926DC"/>
    <w:rsid w:val="00792F44"/>
    <w:rsid w:val="00793E53"/>
    <w:rsid w:val="0079783E"/>
    <w:rsid w:val="007A59CA"/>
    <w:rsid w:val="007A5AF3"/>
    <w:rsid w:val="007A6565"/>
    <w:rsid w:val="007B0644"/>
    <w:rsid w:val="007B53B9"/>
    <w:rsid w:val="007B6DB7"/>
    <w:rsid w:val="007C1D9B"/>
    <w:rsid w:val="007C4FE7"/>
    <w:rsid w:val="007D42F1"/>
    <w:rsid w:val="007D594A"/>
    <w:rsid w:val="007D634B"/>
    <w:rsid w:val="007D73AD"/>
    <w:rsid w:val="007E257D"/>
    <w:rsid w:val="007E6484"/>
    <w:rsid w:val="007F4E23"/>
    <w:rsid w:val="007F4EC1"/>
    <w:rsid w:val="007F5608"/>
    <w:rsid w:val="007F7A1F"/>
    <w:rsid w:val="007F7BB3"/>
    <w:rsid w:val="0080075D"/>
    <w:rsid w:val="00803D2C"/>
    <w:rsid w:val="00805065"/>
    <w:rsid w:val="00807907"/>
    <w:rsid w:val="00810725"/>
    <w:rsid w:val="00811805"/>
    <w:rsid w:val="00811ECD"/>
    <w:rsid w:val="00813362"/>
    <w:rsid w:val="008141CF"/>
    <w:rsid w:val="008159C3"/>
    <w:rsid w:val="00817746"/>
    <w:rsid w:val="008201E8"/>
    <w:rsid w:val="0082066F"/>
    <w:rsid w:val="00825D8E"/>
    <w:rsid w:val="008271EE"/>
    <w:rsid w:val="00830879"/>
    <w:rsid w:val="00830D73"/>
    <w:rsid w:val="0083527C"/>
    <w:rsid w:val="00836413"/>
    <w:rsid w:val="0083662C"/>
    <w:rsid w:val="008369B2"/>
    <w:rsid w:val="008373C6"/>
    <w:rsid w:val="00837C2C"/>
    <w:rsid w:val="00841183"/>
    <w:rsid w:val="008413B7"/>
    <w:rsid w:val="00842DC1"/>
    <w:rsid w:val="00842F11"/>
    <w:rsid w:val="008459DD"/>
    <w:rsid w:val="0084630E"/>
    <w:rsid w:val="008463D6"/>
    <w:rsid w:val="00852C7D"/>
    <w:rsid w:val="00856596"/>
    <w:rsid w:val="008570F8"/>
    <w:rsid w:val="008609F3"/>
    <w:rsid w:val="00866F60"/>
    <w:rsid w:val="00870C82"/>
    <w:rsid w:val="00871D50"/>
    <w:rsid w:val="0087298A"/>
    <w:rsid w:val="008735AB"/>
    <w:rsid w:val="008771C7"/>
    <w:rsid w:val="00880684"/>
    <w:rsid w:val="00881D1D"/>
    <w:rsid w:val="0088387D"/>
    <w:rsid w:val="00884211"/>
    <w:rsid w:val="008862E1"/>
    <w:rsid w:val="008866D1"/>
    <w:rsid w:val="008877AD"/>
    <w:rsid w:val="00887FB1"/>
    <w:rsid w:val="00892D13"/>
    <w:rsid w:val="0089361D"/>
    <w:rsid w:val="00893D58"/>
    <w:rsid w:val="00894975"/>
    <w:rsid w:val="00895E0B"/>
    <w:rsid w:val="00896CF9"/>
    <w:rsid w:val="00896FAF"/>
    <w:rsid w:val="008A0016"/>
    <w:rsid w:val="008A0A34"/>
    <w:rsid w:val="008A0AC4"/>
    <w:rsid w:val="008A1048"/>
    <w:rsid w:val="008A2A1E"/>
    <w:rsid w:val="008A324F"/>
    <w:rsid w:val="008A694A"/>
    <w:rsid w:val="008A7DAC"/>
    <w:rsid w:val="008B0E8F"/>
    <w:rsid w:val="008B230F"/>
    <w:rsid w:val="008B67FB"/>
    <w:rsid w:val="008C02A0"/>
    <w:rsid w:val="008C18ED"/>
    <w:rsid w:val="008C2AEA"/>
    <w:rsid w:val="008C641C"/>
    <w:rsid w:val="008D36D4"/>
    <w:rsid w:val="008D4626"/>
    <w:rsid w:val="008D7A02"/>
    <w:rsid w:val="008D7F76"/>
    <w:rsid w:val="008E2885"/>
    <w:rsid w:val="008E60DC"/>
    <w:rsid w:val="008E7F36"/>
    <w:rsid w:val="008F1B25"/>
    <w:rsid w:val="008F28AB"/>
    <w:rsid w:val="008F2A4D"/>
    <w:rsid w:val="008F3A68"/>
    <w:rsid w:val="009029D2"/>
    <w:rsid w:val="00903AE9"/>
    <w:rsid w:val="00904BBB"/>
    <w:rsid w:val="0090500A"/>
    <w:rsid w:val="009133EC"/>
    <w:rsid w:val="00913EDD"/>
    <w:rsid w:val="00914705"/>
    <w:rsid w:val="00915CF3"/>
    <w:rsid w:val="00916AE3"/>
    <w:rsid w:val="00922E32"/>
    <w:rsid w:val="009241AF"/>
    <w:rsid w:val="009264BA"/>
    <w:rsid w:val="00926948"/>
    <w:rsid w:val="00930DAD"/>
    <w:rsid w:val="009311A2"/>
    <w:rsid w:val="00931306"/>
    <w:rsid w:val="009321FD"/>
    <w:rsid w:val="00934ACF"/>
    <w:rsid w:val="00935286"/>
    <w:rsid w:val="00942BD5"/>
    <w:rsid w:val="00945656"/>
    <w:rsid w:val="0094792C"/>
    <w:rsid w:val="00953CC4"/>
    <w:rsid w:val="00956ADF"/>
    <w:rsid w:val="00957E91"/>
    <w:rsid w:val="009661A1"/>
    <w:rsid w:val="00966A5E"/>
    <w:rsid w:val="00967C8D"/>
    <w:rsid w:val="009712CB"/>
    <w:rsid w:val="00974683"/>
    <w:rsid w:val="00980838"/>
    <w:rsid w:val="009826AA"/>
    <w:rsid w:val="00982975"/>
    <w:rsid w:val="009845D9"/>
    <w:rsid w:val="009857F2"/>
    <w:rsid w:val="00985B50"/>
    <w:rsid w:val="00985DA9"/>
    <w:rsid w:val="00986227"/>
    <w:rsid w:val="0098793D"/>
    <w:rsid w:val="00991ADB"/>
    <w:rsid w:val="00993026"/>
    <w:rsid w:val="009942D9"/>
    <w:rsid w:val="00995C5A"/>
    <w:rsid w:val="009960BD"/>
    <w:rsid w:val="009A7D3C"/>
    <w:rsid w:val="009B3D8D"/>
    <w:rsid w:val="009B4857"/>
    <w:rsid w:val="009B4B06"/>
    <w:rsid w:val="009B67D2"/>
    <w:rsid w:val="009C2132"/>
    <w:rsid w:val="009C59E0"/>
    <w:rsid w:val="009D0D77"/>
    <w:rsid w:val="009D2BC8"/>
    <w:rsid w:val="009D675F"/>
    <w:rsid w:val="009D6CA8"/>
    <w:rsid w:val="009E3464"/>
    <w:rsid w:val="009F0284"/>
    <w:rsid w:val="009F133D"/>
    <w:rsid w:val="009F2CDF"/>
    <w:rsid w:val="009F3201"/>
    <w:rsid w:val="009F52B0"/>
    <w:rsid w:val="009F5AC7"/>
    <w:rsid w:val="00A0372C"/>
    <w:rsid w:val="00A078DD"/>
    <w:rsid w:val="00A10497"/>
    <w:rsid w:val="00A1328F"/>
    <w:rsid w:val="00A1331E"/>
    <w:rsid w:val="00A15522"/>
    <w:rsid w:val="00A1619D"/>
    <w:rsid w:val="00A23861"/>
    <w:rsid w:val="00A26C36"/>
    <w:rsid w:val="00A35B55"/>
    <w:rsid w:val="00A416B4"/>
    <w:rsid w:val="00A45DAA"/>
    <w:rsid w:val="00A50891"/>
    <w:rsid w:val="00A51955"/>
    <w:rsid w:val="00A52B64"/>
    <w:rsid w:val="00A52F28"/>
    <w:rsid w:val="00A54240"/>
    <w:rsid w:val="00A54B2B"/>
    <w:rsid w:val="00A55EE0"/>
    <w:rsid w:val="00A57DC9"/>
    <w:rsid w:val="00A615EF"/>
    <w:rsid w:val="00A628E7"/>
    <w:rsid w:val="00A62A5C"/>
    <w:rsid w:val="00A63101"/>
    <w:rsid w:val="00A63D60"/>
    <w:rsid w:val="00A642DB"/>
    <w:rsid w:val="00A656E1"/>
    <w:rsid w:val="00A67F44"/>
    <w:rsid w:val="00A71D09"/>
    <w:rsid w:val="00A74477"/>
    <w:rsid w:val="00A7613C"/>
    <w:rsid w:val="00A80FE6"/>
    <w:rsid w:val="00A810F8"/>
    <w:rsid w:val="00A85F94"/>
    <w:rsid w:val="00A90780"/>
    <w:rsid w:val="00A928AB"/>
    <w:rsid w:val="00A935CA"/>
    <w:rsid w:val="00A965B4"/>
    <w:rsid w:val="00A96B2C"/>
    <w:rsid w:val="00A971F2"/>
    <w:rsid w:val="00AA367E"/>
    <w:rsid w:val="00AA3A27"/>
    <w:rsid w:val="00AA760A"/>
    <w:rsid w:val="00AB074C"/>
    <w:rsid w:val="00AB34F7"/>
    <w:rsid w:val="00AB6EC5"/>
    <w:rsid w:val="00AC0478"/>
    <w:rsid w:val="00AC145F"/>
    <w:rsid w:val="00AC4E17"/>
    <w:rsid w:val="00AD2090"/>
    <w:rsid w:val="00AD5CA2"/>
    <w:rsid w:val="00AD61D9"/>
    <w:rsid w:val="00AD7C69"/>
    <w:rsid w:val="00AE0454"/>
    <w:rsid w:val="00AE3970"/>
    <w:rsid w:val="00AE52A0"/>
    <w:rsid w:val="00AE7026"/>
    <w:rsid w:val="00AF00BC"/>
    <w:rsid w:val="00AF1AEC"/>
    <w:rsid w:val="00AF7776"/>
    <w:rsid w:val="00B0511F"/>
    <w:rsid w:val="00B13EA7"/>
    <w:rsid w:val="00B151FC"/>
    <w:rsid w:val="00B155A1"/>
    <w:rsid w:val="00B170A8"/>
    <w:rsid w:val="00B176EF"/>
    <w:rsid w:val="00B2105B"/>
    <w:rsid w:val="00B231E6"/>
    <w:rsid w:val="00B2383E"/>
    <w:rsid w:val="00B25298"/>
    <w:rsid w:val="00B2779A"/>
    <w:rsid w:val="00B31AD7"/>
    <w:rsid w:val="00B3331A"/>
    <w:rsid w:val="00B336CB"/>
    <w:rsid w:val="00B33867"/>
    <w:rsid w:val="00B35537"/>
    <w:rsid w:val="00B35C27"/>
    <w:rsid w:val="00B44CFD"/>
    <w:rsid w:val="00B45465"/>
    <w:rsid w:val="00B45698"/>
    <w:rsid w:val="00B478F5"/>
    <w:rsid w:val="00B5013F"/>
    <w:rsid w:val="00B50DB1"/>
    <w:rsid w:val="00B52E89"/>
    <w:rsid w:val="00B54032"/>
    <w:rsid w:val="00B55FAB"/>
    <w:rsid w:val="00B61264"/>
    <w:rsid w:val="00B637CF"/>
    <w:rsid w:val="00B63DD4"/>
    <w:rsid w:val="00B64AD2"/>
    <w:rsid w:val="00B671C8"/>
    <w:rsid w:val="00B67201"/>
    <w:rsid w:val="00B7009E"/>
    <w:rsid w:val="00B73154"/>
    <w:rsid w:val="00B7435A"/>
    <w:rsid w:val="00B74A73"/>
    <w:rsid w:val="00B75EFE"/>
    <w:rsid w:val="00B76282"/>
    <w:rsid w:val="00B76D90"/>
    <w:rsid w:val="00B828D4"/>
    <w:rsid w:val="00B853D1"/>
    <w:rsid w:val="00B86368"/>
    <w:rsid w:val="00B92FAE"/>
    <w:rsid w:val="00B93926"/>
    <w:rsid w:val="00B93B9E"/>
    <w:rsid w:val="00B93FF2"/>
    <w:rsid w:val="00B952A9"/>
    <w:rsid w:val="00B96268"/>
    <w:rsid w:val="00B97651"/>
    <w:rsid w:val="00BA1A9A"/>
    <w:rsid w:val="00BA2820"/>
    <w:rsid w:val="00BA2B99"/>
    <w:rsid w:val="00BA3312"/>
    <w:rsid w:val="00BA382D"/>
    <w:rsid w:val="00BA6540"/>
    <w:rsid w:val="00BA71FD"/>
    <w:rsid w:val="00BA7D40"/>
    <w:rsid w:val="00BB06D0"/>
    <w:rsid w:val="00BB2A20"/>
    <w:rsid w:val="00BB354F"/>
    <w:rsid w:val="00BC3258"/>
    <w:rsid w:val="00BC5469"/>
    <w:rsid w:val="00BC5AD0"/>
    <w:rsid w:val="00BC664D"/>
    <w:rsid w:val="00BC6798"/>
    <w:rsid w:val="00BC68D4"/>
    <w:rsid w:val="00BD2064"/>
    <w:rsid w:val="00BD2DFE"/>
    <w:rsid w:val="00BD3C16"/>
    <w:rsid w:val="00BD5139"/>
    <w:rsid w:val="00BD528C"/>
    <w:rsid w:val="00BD6E67"/>
    <w:rsid w:val="00BE11DE"/>
    <w:rsid w:val="00BE243D"/>
    <w:rsid w:val="00BE4A54"/>
    <w:rsid w:val="00BE77AD"/>
    <w:rsid w:val="00BE797E"/>
    <w:rsid w:val="00BF04A9"/>
    <w:rsid w:val="00BF2B99"/>
    <w:rsid w:val="00BF5904"/>
    <w:rsid w:val="00BF6196"/>
    <w:rsid w:val="00BF658C"/>
    <w:rsid w:val="00C020A8"/>
    <w:rsid w:val="00C02163"/>
    <w:rsid w:val="00C0245F"/>
    <w:rsid w:val="00C02D28"/>
    <w:rsid w:val="00C0798D"/>
    <w:rsid w:val="00C10083"/>
    <w:rsid w:val="00C16771"/>
    <w:rsid w:val="00C17820"/>
    <w:rsid w:val="00C219B1"/>
    <w:rsid w:val="00C21B40"/>
    <w:rsid w:val="00C23119"/>
    <w:rsid w:val="00C25489"/>
    <w:rsid w:val="00C25AD9"/>
    <w:rsid w:val="00C26900"/>
    <w:rsid w:val="00C27928"/>
    <w:rsid w:val="00C32032"/>
    <w:rsid w:val="00C328E3"/>
    <w:rsid w:val="00C32D25"/>
    <w:rsid w:val="00C42E90"/>
    <w:rsid w:val="00C4552A"/>
    <w:rsid w:val="00C46774"/>
    <w:rsid w:val="00C46B00"/>
    <w:rsid w:val="00C513E1"/>
    <w:rsid w:val="00C53BF0"/>
    <w:rsid w:val="00C56344"/>
    <w:rsid w:val="00C61B51"/>
    <w:rsid w:val="00C61DB0"/>
    <w:rsid w:val="00C6290F"/>
    <w:rsid w:val="00C67065"/>
    <w:rsid w:val="00C70FEE"/>
    <w:rsid w:val="00C74282"/>
    <w:rsid w:val="00C75579"/>
    <w:rsid w:val="00C80097"/>
    <w:rsid w:val="00C811C4"/>
    <w:rsid w:val="00C81ACE"/>
    <w:rsid w:val="00C81D18"/>
    <w:rsid w:val="00C83E44"/>
    <w:rsid w:val="00C85985"/>
    <w:rsid w:val="00C90488"/>
    <w:rsid w:val="00C918AA"/>
    <w:rsid w:val="00C9739C"/>
    <w:rsid w:val="00CA286C"/>
    <w:rsid w:val="00CA7D2D"/>
    <w:rsid w:val="00CB1B6F"/>
    <w:rsid w:val="00CB4336"/>
    <w:rsid w:val="00CC081E"/>
    <w:rsid w:val="00CC1438"/>
    <w:rsid w:val="00CC288C"/>
    <w:rsid w:val="00CC4D36"/>
    <w:rsid w:val="00CC6438"/>
    <w:rsid w:val="00CC6B6A"/>
    <w:rsid w:val="00CC6DD6"/>
    <w:rsid w:val="00CD30EC"/>
    <w:rsid w:val="00CD3120"/>
    <w:rsid w:val="00CD645E"/>
    <w:rsid w:val="00CD726D"/>
    <w:rsid w:val="00CE1F8B"/>
    <w:rsid w:val="00CE3BA7"/>
    <w:rsid w:val="00CE4D08"/>
    <w:rsid w:val="00CE5292"/>
    <w:rsid w:val="00CF0892"/>
    <w:rsid w:val="00CF391F"/>
    <w:rsid w:val="00CF5F2C"/>
    <w:rsid w:val="00D02181"/>
    <w:rsid w:val="00D04AEB"/>
    <w:rsid w:val="00D07246"/>
    <w:rsid w:val="00D07E3E"/>
    <w:rsid w:val="00D11F8A"/>
    <w:rsid w:val="00D13443"/>
    <w:rsid w:val="00D15993"/>
    <w:rsid w:val="00D1601E"/>
    <w:rsid w:val="00D20BB9"/>
    <w:rsid w:val="00D20DA5"/>
    <w:rsid w:val="00D220BB"/>
    <w:rsid w:val="00D24F33"/>
    <w:rsid w:val="00D25B9E"/>
    <w:rsid w:val="00D33227"/>
    <w:rsid w:val="00D34520"/>
    <w:rsid w:val="00D36265"/>
    <w:rsid w:val="00D37429"/>
    <w:rsid w:val="00D43C57"/>
    <w:rsid w:val="00D4448A"/>
    <w:rsid w:val="00D44B92"/>
    <w:rsid w:val="00D46335"/>
    <w:rsid w:val="00D50B26"/>
    <w:rsid w:val="00D51452"/>
    <w:rsid w:val="00D54985"/>
    <w:rsid w:val="00D5526A"/>
    <w:rsid w:val="00D5746E"/>
    <w:rsid w:val="00D60155"/>
    <w:rsid w:val="00D6235A"/>
    <w:rsid w:val="00D62C14"/>
    <w:rsid w:val="00D62CFB"/>
    <w:rsid w:val="00D634AB"/>
    <w:rsid w:val="00D6411B"/>
    <w:rsid w:val="00D65F1E"/>
    <w:rsid w:val="00D7445A"/>
    <w:rsid w:val="00D77880"/>
    <w:rsid w:val="00D86FA4"/>
    <w:rsid w:val="00D87983"/>
    <w:rsid w:val="00D9131F"/>
    <w:rsid w:val="00D9375B"/>
    <w:rsid w:val="00D955FF"/>
    <w:rsid w:val="00D97E3A"/>
    <w:rsid w:val="00D97FB4"/>
    <w:rsid w:val="00DA43DD"/>
    <w:rsid w:val="00DA44B4"/>
    <w:rsid w:val="00DA4CC0"/>
    <w:rsid w:val="00DA512C"/>
    <w:rsid w:val="00DA5B5A"/>
    <w:rsid w:val="00DA5B8C"/>
    <w:rsid w:val="00DB16D7"/>
    <w:rsid w:val="00DB1978"/>
    <w:rsid w:val="00DB32E3"/>
    <w:rsid w:val="00DB38B9"/>
    <w:rsid w:val="00DB538D"/>
    <w:rsid w:val="00DB621B"/>
    <w:rsid w:val="00DB6AFB"/>
    <w:rsid w:val="00DC320D"/>
    <w:rsid w:val="00DC3A7C"/>
    <w:rsid w:val="00DC4460"/>
    <w:rsid w:val="00DC5405"/>
    <w:rsid w:val="00DD545A"/>
    <w:rsid w:val="00DD55D5"/>
    <w:rsid w:val="00DD5F75"/>
    <w:rsid w:val="00DD7391"/>
    <w:rsid w:val="00DD7B3A"/>
    <w:rsid w:val="00DE0001"/>
    <w:rsid w:val="00DE14D9"/>
    <w:rsid w:val="00DE54BA"/>
    <w:rsid w:val="00DE6FAD"/>
    <w:rsid w:val="00DF0B64"/>
    <w:rsid w:val="00E011B8"/>
    <w:rsid w:val="00E05B39"/>
    <w:rsid w:val="00E06A5C"/>
    <w:rsid w:val="00E10096"/>
    <w:rsid w:val="00E11241"/>
    <w:rsid w:val="00E113E4"/>
    <w:rsid w:val="00E16F0A"/>
    <w:rsid w:val="00E20657"/>
    <w:rsid w:val="00E20E7F"/>
    <w:rsid w:val="00E20F68"/>
    <w:rsid w:val="00E21080"/>
    <w:rsid w:val="00E211CA"/>
    <w:rsid w:val="00E23188"/>
    <w:rsid w:val="00E24A13"/>
    <w:rsid w:val="00E24B10"/>
    <w:rsid w:val="00E2653C"/>
    <w:rsid w:val="00E26696"/>
    <w:rsid w:val="00E303A0"/>
    <w:rsid w:val="00E304BB"/>
    <w:rsid w:val="00E3123C"/>
    <w:rsid w:val="00E358DF"/>
    <w:rsid w:val="00E35FB7"/>
    <w:rsid w:val="00E421CB"/>
    <w:rsid w:val="00E439C3"/>
    <w:rsid w:val="00E44961"/>
    <w:rsid w:val="00E453BE"/>
    <w:rsid w:val="00E474A1"/>
    <w:rsid w:val="00E47866"/>
    <w:rsid w:val="00E50D4F"/>
    <w:rsid w:val="00E53217"/>
    <w:rsid w:val="00E57889"/>
    <w:rsid w:val="00E65211"/>
    <w:rsid w:val="00E702F3"/>
    <w:rsid w:val="00E71997"/>
    <w:rsid w:val="00E73B14"/>
    <w:rsid w:val="00E75FCA"/>
    <w:rsid w:val="00E766F8"/>
    <w:rsid w:val="00E8099E"/>
    <w:rsid w:val="00E81922"/>
    <w:rsid w:val="00E82560"/>
    <w:rsid w:val="00E8317C"/>
    <w:rsid w:val="00E832F1"/>
    <w:rsid w:val="00E83B4D"/>
    <w:rsid w:val="00E84116"/>
    <w:rsid w:val="00E84988"/>
    <w:rsid w:val="00E86597"/>
    <w:rsid w:val="00E90A6F"/>
    <w:rsid w:val="00E938AA"/>
    <w:rsid w:val="00E94D78"/>
    <w:rsid w:val="00E9547E"/>
    <w:rsid w:val="00EA1A33"/>
    <w:rsid w:val="00EA2603"/>
    <w:rsid w:val="00EA315D"/>
    <w:rsid w:val="00EA41A5"/>
    <w:rsid w:val="00EB1C1F"/>
    <w:rsid w:val="00EB4CB8"/>
    <w:rsid w:val="00EB53BD"/>
    <w:rsid w:val="00EB7A8F"/>
    <w:rsid w:val="00EC1DCA"/>
    <w:rsid w:val="00ED0DDA"/>
    <w:rsid w:val="00ED1958"/>
    <w:rsid w:val="00ED3FB3"/>
    <w:rsid w:val="00ED5A6D"/>
    <w:rsid w:val="00EE3152"/>
    <w:rsid w:val="00EE5318"/>
    <w:rsid w:val="00EE6602"/>
    <w:rsid w:val="00EF00C2"/>
    <w:rsid w:val="00EF3C8D"/>
    <w:rsid w:val="00EF6B96"/>
    <w:rsid w:val="00EF733D"/>
    <w:rsid w:val="00F02D18"/>
    <w:rsid w:val="00F051BC"/>
    <w:rsid w:val="00F067D2"/>
    <w:rsid w:val="00F11735"/>
    <w:rsid w:val="00F1186D"/>
    <w:rsid w:val="00F1382A"/>
    <w:rsid w:val="00F163A3"/>
    <w:rsid w:val="00F226E3"/>
    <w:rsid w:val="00F25978"/>
    <w:rsid w:val="00F267A1"/>
    <w:rsid w:val="00F27B49"/>
    <w:rsid w:val="00F309CD"/>
    <w:rsid w:val="00F3156F"/>
    <w:rsid w:val="00F31E64"/>
    <w:rsid w:val="00F334B2"/>
    <w:rsid w:val="00F33616"/>
    <w:rsid w:val="00F342E0"/>
    <w:rsid w:val="00F34CCE"/>
    <w:rsid w:val="00F3587C"/>
    <w:rsid w:val="00F35BDE"/>
    <w:rsid w:val="00F367DF"/>
    <w:rsid w:val="00F42875"/>
    <w:rsid w:val="00F44A92"/>
    <w:rsid w:val="00F44ED6"/>
    <w:rsid w:val="00F51DD7"/>
    <w:rsid w:val="00F5334E"/>
    <w:rsid w:val="00F5379F"/>
    <w:rsid w:val="00F55AF4"/>
    <w:rsid w:val="00F566B9"/>
    <w:rsid w:val="00F60BDA"/>
    <w:rsid w:val="00F63036"/>
    <w:rsid w:val="00F658A3"/>
    <w:rsid w:val="00F715FA"/>
    <w:rsid w:val="00F72B44"/>
    <w:rsid w:val="00F735F0"/>
    <w:rsid w:val="00F73DC3"/>
    <w:rsid w:val="00F74A1D"/>
    <w:rsid w:val="00F760E2"/>
    <w:rsid w:val="00F808B0"/>
    <w:rsid w:val="00F8146C"/>
    <w:rsid w:val="00F87425"/>
    <w:rsid w:val="00F87ADD"/>
    <w:rsid w:val="00F87D0C"/>
    <w:rsid w:val="00F912BD"/>
    <w:rsid w:val="00F93F55"/>
    <w:rsid w:val="00F979AA"/>
    <w:rsid w:val="00FA0126"/>
    <w:rsid w:val="00FA1069"/>
    <w:rsid w:val="00FB0BB8"/>
    <w:rsid w:val="00FB3520"/>
    <w:rsid w:val="00FB353C"/>
    <w:rsid w:val="00FB3542"/>
    <w:rsid w:val="00FB74F8"/>
    <w:rsid w:val="00FC0A23"/>
    <w:rsid w:val="00FC4B0B"/>
    <w:rsid w:val="00FC6C0A"/>
    <w:rsid w:val="00FC6E3B"/>
    <w:rsid w:val="00FD77EE"/>
    <w:rsid w:val="00FD7F88"/>
    <w:rsid w:val="00FE070A"/>
    <w:rsid w:val="00FE7D42"/>
    <w:rsid w:val="00FF3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7D74"/>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147D74"/>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147D74"/>
    <w:rPr>
      <w:rFonts w:ascii="Times New Roman" w:hAnsi="Times New Roman" w:cs="Times New Roman"/>
      <w:sz w:val="24"/>
      <w:szCs w:val="24"/>
      <w:lang w:eastAsia="ru-RU"/>
    </w:rPr>
  </w:style>
  <w:style w:type="paragraph" w:styleId="a5">
    <w:name w:val="List Paragraph"/>
    <w:basedOn w:val="a"/>
    <w:uiPriority w:val="99"/>
    <w:qFormat/>
    <w:rsid w:val="00F87ADD"/>
    <w:pPr>
      <w:ind w:left="720"/>
      <w:contextualSpacing/>
    </w:pPr>
  </w:style>
  <w:style w:type="paragraph" w:styleId="a6">
    <w:name w:val="Balloon Text"/>
    <w:basedOn w:val="a"/>
    <w:link w:val="a7"/>
    <w:uiPriority w:val="99"/>
    <w:semiHidden/>
    <w:rsid w:val="00F87A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87ADD"/>
    <w:rPr>
      <w:rFonts w:ascii="Tahoma" w:hAnsi="Tahoma" w:cs="Tahoma"/>
      <w:sz w:val="16"/>
      <w:szCs w:val="16"/>
    </w:rPr>
  </w:style>
  <w:style w:type="paragraph" w:styleId="3">
    <w:name w:val="Body Text 3"/>
    <w:basedOn w:val="a"/>
    <w:link w:val="30"/>
    <w:uiPriority w:val="99"/>
    <w:semiHidden/>
    <w:rsid w:val="00D51452"/>
    <w:pPr>
      <w:spacing w:after="120"/>
    </w:pPr>
    <w:rPr>
      <w:sz w:val="16"/>
      <w:szCs w:val="16"/>
    </w:rPr>
  </w:style>
  <w:style w:type="character" w:customStyle="1" w:styleId="30">
    <w:name w:val="Основной текст 3 Знак"/>
    <w:basedOn w:val="a0"/>
    <w:link w:val="3"/>
    <w:uiPriority w:val="99"/>
    <w:semiHidden/>
    <w:locked/>
    <w:rsid w:val="00D51452"/>
    <w:rPr>
      <w:rFonts w:cs="Times New Roman"/>
      <w:sz w:val="16"/>
      <w:szCs w:val="16"/>
    </w:rPr>
  </w:style>
  <w:style w:type="character" w:styleId="a8">
    <w:name w:val="Strong"/>
    <w:basedOn w:val="a0"/>
    <w:uiPriority w:val="22"/>
    <w:qFormat/>
    <w:rsid w:val="00D51452"/>
    <w:rPr>
      <w:rFonts w:cs="Times New Roman"/>
      <w:b/>
    </w:rPr>
  </w:style>
  <w:style w:type="character" w:styleId="a9">
    <w:name w:val="Emphasis"/>
    <w:basedOn w:val="a0"/>
    <w:qFormat/>
    <w:locked/>
    <w:rsid w:val="005252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482755">
      <w:bodyDiv w:val="1"/>
      <w:marLeft w:val="0"/>
      <w:marRight w:val="0"/>
      <w:marTop w:val="0"/>
      <w:marBottom w:val="0"/>
      <w:divBdr>
        <w:top w:val="none" w:sz="0" w:space="0" w:color="auto"/>
        <w:left w:val="none" w:sz="0" w:space="0" w:color="auto"/>
        <w:bottom w:val="none" w:sz="0" w:space="0" w:color="auto"/>
        <w:right w:val="none" w:sz="0" w:space="0" w:color="auto"/>
      </w:divBdr>
    </w:div>
    <w:div w:id="1038971692">
      <w:marLeft w:val="0"/>
      <w:marRight w:val="0"/>
      <w:marTop w:val="0"/>
      <w:marBottom w:val="0"/>
      <w:divBdr>
        <w:top w:val="none" w:sz="0" w:space="0" w:color="auto"/>
        <w:left w:val="none" w:sz="0" w:space="0" w:color="auto"/>
        <w:bottom w:val="none" w:sz="0" w:space="0" w:color="auto"/>
        <w:right w:val="none" w:sz="0" w:space="0" w:color="auto"/>
      </w:divBdr>
    </w:div>
    <w:div w:id="1038971693">
      <w:marLeft w:val="0"/>
      <w:marRight w:val="0"/>
      <w:marTop w:val="0"/>
      <w:marBottom w:val="0"/>
      <w:divBdr>
        <w:top w:val="none" w:sz="0" w:space="0" w:color="auto"/>
        <w:left w:val="none" w:sz="0" w:space="0" w:color="auto"/>
        <w:bottom w:val="none" w:sz="0" w:space="0" w:color="auto"/>
        <w:right w:val="none" w:sz="0" w:space="0" w:color="auto"/>
      </w:divBdr>
    </w:div>
    <w:div w:id="1038971694">
      <w:marLeft w:val="0"/>
      <w:marRight w:val="0"/>
      <w:marTop w:val="0"/>
      <w:marBottom w:val="0"/>
      <w:divBdr>
        <w:top w:val="none" w:sz="0" w:space="0" w:color="auto"/>
        <w:left w:val="none" w:sz="0" w:space="0" w:color="auto"/>
        <w:bottom w:val="none" w:sz="0" w:space="0" w:color="auto"/>
        <w:right w:val="none" w:sz="0" w:space="0" w:color="auto"/>
      </w:divBdr>
    </w:div>
    <w:div w:id="1038971695">
      <w:marLeft w:val="0"/>
      <w:marRight w:val="0"/>
      <w:marTop w:val="0"/>
      <w:marBottom w:val="0"/>
      <w:divBdr>
        <w:top w:val="none" w:sz="0" w:space="0" w:color="auto"/>
        <w:left w:val="none" w:sz="0" w:space="0" w:color="auto"/>
        <w:bottom w:val="none" w:sz="0" w:space="0" w:color="auto"/>
        <w:right w:val="none" w:sz="0" w:space="0" w:color="auto"/>
      </w:divBdr>
    </w:div>
    <w:div w:id="1038971696">
      <w:marLeft w:val="0"/>
      <w:marRight w:val="0"/>
      <w:marTop w:val="0"/>
      <w:marBottom w:val="0"/>
      <w:divBdr>
        <w:top w:val="none" w:sz="0" w:space="0" w:color="auto"/>
        <w:left w:val="none" w:sz="0" w:space="0" w:color="auto"/>
        <w:bottom w:val="none" w:sz="0" w:space="0" w:color="auto"/>
        <w:right w:val="none" w:sz="0" w:space="0" w:color="auto"/>
      </w:divBdr>
    </w:div>
    <w:div w:id="1038971697">
      <w:marLeft w:val="0"/>
      <w:marRight w:val="0"/>
      <w:marTop w:val="0"/>
      <w:marBottom w:val="0"/>
      <w:divBdr>
        <w:top w:val="none" w:sz="0" w:space="0" w:color="auto"/>
        <w:left w:val="none" w:sz="0" w:space="0" w:color="auto"/>
        <w:bottom w:val="none" w:sz="0" w:space="0" w:color="auto"/>
        <w:right w:val="none" w:sz="0" w:space="0" w:color="auto"/>
      </w:divBdr>
    </w:div>
    <w:div w:id="1038971698">
      <w:marLeft w:val="0"/>
      <w:marRight w:val="0"/>
      <w:marTop w:val="0"/>
      <w:marBottom w:val="0"/>
      <w:divBdr>
        <w:top w:val="none" w:sz="0" w:space="0" w:color="auto"/>
        <w:left w:val="none" w:sz="0" w:space="0" w:color="auto"/>
        <w:bottom w:val="none" w:sz="0" w:space="0" w:color="auto"/>
        <w:right w:val="none" w:sz="0" w:space="0" w:color="auto"/>
      </w:divBdr>
    </w:div>
    <w:div w:id="1038971699">
      <w:marLeft w:val="0"/>
      <w:marRight w:val="0"/>
      <w:marTop w:val="0"/>
      <w:marBottom w:val="0"/>
      <w:divBdr>
        <w:top w:val="none" w:sz="0" w:space="0" w:color="auto"/>
        <w:left w:val="none" w:sz="0" w:space="0" w:color="auto"/>
        <w:bottom w:val="none" w:sz="0" w:space="0" w:color="auto"/>
        <w:right w:val="none" w:sz="0" w:space="0" w:color="auto"/>
      </w:divBdr>
    </w:div>
    <w:div w:id="1038971700">
      <w:marLeft w:val="0"/>
      <w:marRight w:val="0"/>
      <w:marTop w:val="0"/>
      <w:marBottom w:val="0"/>
      <w:divBdr>
        <w:top w:val="none" w:sz="0" w:space="0" w:color="auto"/>
        <w:left w:val="none" w:sz="0" w:space="0" w:color="auto"/>
        <w:bottom w:val="none" w:sz="0" w:space="0" w:color="auto"/>
        <w:right w:val="none" w:sz="0" w:space="0" w:color="auto"/>
      </w:divBdr>
    </w:div>
    <w:div w:id="1038971701">
      <w:marLeft w:val="0"/>
      <w:marRight w:val="0"/>
      <w:marTop w:val="0"/>
      <w:marBottom w:val="0"/>
      <w:divBdr>
        <w:top w:val="none" w:sz="0" w:space="0" w:color="auto"/>
        <w:left w:val="none" w:sz="0" w:space="0" w:color="auto"/>
        <w:bottom w:val="none" w:sz="0" w:space="0" w:color="auto"/>
        <w:right w:val="none" w:sz="0" w:space="0" w:color="auto"/>
      </w:divBdr>
    </w:div>
    <w:div w:id="1038971702">
      <w:marLeft w:val="0"/>
      <w:marRight w:val="0"/>
      <w:marTop w:val="0"/>
      <w:marBottom w:val="0"/>
      <w:divBdr>
        <w:top w:val="none" w:sz="0" w:space="0" w:color="auto"/>
        <w:left w:val="none" w:sz="0" w:space="0" w:color="auto"/>
        <w:bottom w:val="none" w:sz="0" w:space="0" w:color="auto"/>
        <w:right w:val="none" w:sz="0" w:space="0" w:color="auto"/>
      </w:divBdr>
    </w:div>
    <w:div w:id="1038971703">
      <w:marLeft w:val="0"/>
      <w:marRight w:val="0"/>
      <w:marTop w:val="0"/>
      <w:marBottom w:val="0"/>
      <w:divBdr>
        <w:top w:val="none" w:sz="0" w:space="0" w:color="auto"/>
        <w:left w:val="none" w:sz="0" w:space="0" w:color="auto"/>
        <w:bottom w:val="none" w:sz="0" w:space="0" w:color="auto"/>
        <w:right w:val="none" w:sz="0" w:space="0" w:color="auto"/>
      </w:divBdr>
    </w:div>
    <w:div w:id="1038971704">
      <w:marLeft w:val="0"/>
      <w:marRight w:val="0"/>
      <w:marTop w:val="0"/>
      <w:marBottom w:val="0"/>
      <w:divBdr>
        <w:top w:val="none" w:sz="0" w:space="0" w:color="auto"/>
        <w:left w:val="none" w:sz="0" w:space="0" w:color="auto"/>
        <w:bottom w:val="none" w:sz="0" w:space="0" w:color="auto"/>
        <w:right w:val="none" w:sz="0" w:space="0" w:color="auto"/>
      </w:divBdr>
    </w:div>
    <w:div w:id="1038971705">
      <w:marLeft w:val="0"/>
      <w:marRight w:val="0"/>
      <w:marTop w:val="0"/>
      <w:marBottom w:val="0"/>
      <w:divBdr>
        <w:top w:val="none" w:sz="0" w:space="0" w:color="auto"/>
        <w:left w:val="none" w:sz="0" w:space="0" w:color="auto"/>
        <w:bottom w:val="none" w:sz="0" w:space="0" w:color="auto"/>
        <w:right w:val="none" w:sz="0" w:space="0" w:color="auto"/>
      </w:divBdr>
    </w:div>
    <w:div w:id="1038971706">
      <w:marLeft w:val="0"/>
      <w:marRight w:val="0"/>
      <w:marTop w:val="0"/>
      <w:marBottom w:val="0"/>
      <w:divBdr>
        <w:top w:val="none" w:sz="0" w:space="0" w:color="auto"/>
        <w:left w:val="none" w:sz="0" w:space="0" w:color="auto"/>
        <w:bottom w:val="none" w:sz="0" w:space="0" w:color="auto"/>
        <w:right w:val="none" w:sz="0" w:space="0" w:color="auto"/>
      </w:divBdr>
    </w:div>
    <w:div w:id="1038971707">
      <w:marLeft w:val="0"/>
      <w:marRight w:val="0"/>
      <w:marTop w:val="0"/>
      <w:marBottom w:val="0"/>
      <w:divBdr>
        <w:top w:val="none" w:sz="0" w:space="0" w:color="auto"/>
        <w:left w:val="none" w:sz="0" w:space="0" w:color="auto"/>
        <w:bottom w:val="none" w:sz="0" w:space="0" w:color="auto"/>
        <w:right w:val="none" w:sz="0" w:space="0" w:color="auto"/>
      </w:divBdr>
    </w:div>
    <w:div w:id="1038971708">
      <w:marLeft w:val="0"/>
      <w:marRight w:val="0"/>
      <w:marTop w:val="0"/>
      <w:marBottom w:val="0"/>
      <w:divBdr>
        <w:top w:val="none" w:sz="0" w:space="0" w:color="auto"/>
        <w:left w:val="none" w:sz="0" w:space="0" w:color="auto"/>
        <w:bottom w:val="none" w:sz="0" w:space="0" w:color="auto"/>
        <w:right w:val="none" w:sz="0" w:space="0" w:color="auto"/>
      </w:divBdr>
    </w:div>
    <w:div w:id="1038971709">
      <w:marLeft w:val="0"/>
      <w:marRight w:val="0"/>
      <w:marTop w:val="0"/>
      <w:marBottom w:val="0"/>
      <w:divBdr>
        <w:top w:val="none" w:sz="0" w:space="0" w:color="auto"/>
        <w:left w:val="none" w:sz="0" w:space="0" w:color="auto"/>
        <w:bottom w:val="none" w:sz="0" w:space="0" w:color="auto"/>
        <w:right w:val="none" w:sz="0" w:space="0" w:color="auto"/>
      </w:divBdr>
    </w:div>
    <w:div w:id="1038971710">
      <w:marLeft w:val="0"/>
      <w:marRight w:val="0"/>
      <w:marTop w:val="0"/>
      <w:marBottom w:val="0"/>
      <w:divBdr>
        <w:top w:val="none" w:sz="0" w:space="0" w:color="auto"/>
        <w:left w:val="none" w:sz="0" w:space="0" w:color="auto"/>
        <w:bottom w:val="none" w:sz="0" w:space="0" w:color="auto"/>
        <w:right w:val="none" w:sz="0" w:space="0" w:color="auto"/>
      </w:divBdr>
    </w:div>
    <w:div w:id="1038971711">
      <w:marLeft w:val="0"/>
      <w:marRight w:val="0"/>
      <w:marTop w:val="0"/>
      <w:marBottom w:val="0"/>
      <w:divBdr>
        <w:top w:val="none" w:sz="0" w:space="0" w:color="auto"/>
        <w:left w:val="none" w:sz="0" w:space="0" w:color="auto"/>
        <w:bottom w:val="none" w:sz="0" w:space="0" w:color="auto"/>
        <w:right w:val="none" w:sz="0" w:space="0" w:color="auto"/>
      </w:divBdr>
    </w:div>
    <w:div w:id="1038971712">
      <w:marLeft w:val="0"/>
      <w:marRight w:val="0"/>
      <w:marTop w:val="0"/>
      <w:marBottom w:val="0"/>
      <w:divBdr>
        <w:top w:val="none" w:sz="0" w:space="0" w:color="auto"/>
        <w:left w:val="none" w:sz="0" w:space="0" w:color="auto"/>
        <w:bottom w:val="none" w:sz="0" w:space="0" w:color="auto"/>
        <w:right w:val="none" w:sz="0" w:space="0" w:color="auto"/>
      </w:divBdr>
    </w:div>
    <w:div w:id="1038971713">
      <w:marLeft w:val="0"/>
      <w:marRight w:val="0"/>
      <w:marTop w:val="0"/>
      <w:marBottom w:val="0"/>
      <w:divBdr>
        <w:top w:val="none" w:sz="0" w:space="0" w:color="auto"/>
        <w:left w:val="none" w:sz="0" w:space="0" w:color="auto"/>
        <w:bottom w:val="none" w:sz="0" w:space="0" w:color="auto"/>
        <w:right w:val="none" w:sz="0" w:space="0" w:color="auto"/>
      </w:divBdr>
    </w:div>
    <w:div w:id="1118765538">
      <w:bodyDiv w:val="1"/>
      <w:marLeft w:val="0"/>
      <w:marRight w:val="0"/>
      <w:marTop w:val="0"/>
      <w:marBottom w:val="0"/>
      <w:divBdr>
        <w:top w:val="none" w:sz="0" w:space="0" w:color="auto"/>
        <w:left w:val="none" w:sz="0" w:space="0" w:color="auto"/>
        <w:bottom w:val="none" w:sz="0" w:space="0" w:color="auto"/>
        <w:right w:val="none" w:sz="0" w:space="0" w:color="auto"/>
      </w:divBdr>
    </w:div>
    <w:div w:id="1311402610">
      <w:bodyDiv w:val="1"/>
      <w:marLeft w:val="0"/>
      <w:marRight w:val="0"/>
      <w:marTop w:val="0"/>
      <w:marBottom w:val="0"/>
      <w:divBdr>
        <w:top w:val="none" w:sz="0" w:space="0" w:color="auto"/>
        <w:left w:val="none" w:sz="0" w:space="0" w:color="auto"/>
        <w:bottom w:val="none" w:sz="0" w:space="0" w:color="auto"/>
        <w:right w:val="none" w:sz="0" w:space="0" w:color="auto"/>
      </w:divBdr>
    </w:div>
    <w:div w:id="19519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Лист3!$B$1</c:f>
              <c:strCache>
                <c:ptCount val="1"/>
                <c:pt idx="0">
                  <c:v>2018</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0">
                  <c:v>123490</c:v>
                </c:pt>
                <c:pt idx="1">
                  <c:v>440791.46</c:v>
                </c:pt>
                <c:pt idx="2">
                  <c:v>20100</c:v>
                </c:pt>
                <c:pt idx="3">
                  <c:v>191194.77000000011</c:v>
                </c:pt>
                <c:pt idx="4">
                  <c:v>238143.33</c:v>
                </c:pt>
                <c:pt idx="5">
                  <c:v>189967.73</c:v>
                </c:pt>
                <c:pt idx="6">
                  <c:v>4841163.9400000004</c:v>
                </c:pt>
                <c:pt idx="7">
                  <c:v>809399.25</c:v>
                </c:pt>
                <c:pt idx="8">
                  <c:v>19114948.739999998</c:v>
                </c:pt>
                <c:pt idx="9">
                  <c:v>28188600</c:v>
                </c:pt>
                <c:pt idx="10">
                  <c:v>3615689.4099999997</c:v>
                </c:pt>
              </c:numCache>
            </c:numRef>
          </c:val>
        </c:ser>
        <c:ser>
          <c:idx val="1"/>
          <c:order val="1"/>
          <c:tx>
            <c:strRef>
              <c:f>Лист3!$C$1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1">
                  <c:v>485324.44</c:v>
                </c:pt>
                <c:pt idx="2">
                  <c:v>21580</c:v>
                </c:pt>
                <c:pt idx="3">
                  <c:v>218107.69</c:v>
                </c:pt>
                <c:pt idx="4">
                  <c:v>385267.4</c:v>
                </c:pt>
                <c:pt idx="5">
                  <c:v>168148.18</c:v>
                </c:pt>
                <c:pt idx="6">
                  <c:v>6101392.7800000003</c:v>
                </c:pt>
                <c:pt idx="7">
                  <c:v>931360.06</c:v>
                </c:pt>
                <c:pt idx="8">
                  <c:v>17039257.75</c:v>
                </c:pt>
                <c:pt idx="9">
                  <c:v>35570432</c:v>
                </c:pt>
                <c:pt idx="10">
                  <c:v>4128096.68</c:v>
                </c:pt>
              </c:numCache>
            </c:numRef>
          </c:val>
        </c:ser>
        <c:ser>
          <c:idx val="2"/>
          <c:order val="2"/>
          <c:tx>
            <c:strRef>
              <c:f>Лист3!$D$1</c:f>
              <c:strCache>
                <c:ptCount val="1"/>
                <c:pt idx="0">
                  <c:v>2018</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0.21374855998548023</c:v>
                </c:pt>
                <c:pt idx="1">
                  <c:v>0.76296493504654062</c:v>
                </c:pt>
                <c:pt idx="2">
                  <c:v>3.4791044260330001E-2</c:v>
                </c:pt>
                <c:pt idx="3">
                  <c:v>0.33093859230913536</c:v>
                </c:pt>
                <c:pt idx="4">
                  <c:v>0.41220174797673459</c:v>
                </c:pt>
                <c:pt idx="5">
                  <c:v>0.32881471156539438</c:v>
                </c:pt>
                <c:pt idx="6">
                  <c:v>8.3795596471668592</c:v>
                </c:pt>
                <c:pt idx="7">
                  <c:v>1.4009873199516361</c:v>
                </c:pt>
                <c:pt idx="8">
                  <c:v>33.086021275983995</c:v>
                </c:pt>
                <c:pt idx="9">
                  <c:v>48.791583593867479</c:v>
                </c:pt>
                <c:pt idx="10">
                  <c:v>6.2583885718863845</c:v>
                </c:pt>
              </c:numCache>
            </c:numRef>
          </c:val>
        </c:ser>
        <c:ser>
          <c:idx val="3"/>
          <c:order val="3"/>
          <c:tx>
            <c:strRef>
              <c:f>Лист3!$E$1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c:v>
                </c:pt>
                <c:pt idx="1">
                  <c:v>0.74609092585469994</c:v>
                </c:pt>
                <c:pt idx="2">
                  <c:v>3.3175008000718952E-2</c:v>
                </c:pt>
                <c:pt idx="3">
                  <c:v>0.33529769975756857</c:v>
                </c:pt>
                <c:pt idx="4">
                  <c:v>0.59227289515366821</c:v>
                </c:pt>
                <c:pt idx="5">
                  <c:v>0.25849477371669732</c:v>
                </c:pt>
                <c:pt idx="6">
                  <c:v>9.3796920431894808</c:v>
                </c:pt>
                <c:pt idx="7">
                  <c:v>1.4317830139967582</c:v>
                </c:pt>
                <c:pt idx="8">
                  <c:v>26.194509368978764</c:v>
                </c:pt>
                <c:pt idx="9">
                  <c:v>54.682547089389594</c:v>
                </c:pt>
                <c:pt idx="10">
                  <c:v>6.3461371819620584</c:v>
                </c:pt>
              </c:numCache>
            </c:numRef>
          </c:val>
        </c:ser>
        <c:overlap val="100"/>
        <c:axId val="65496576"/>
        <c:axId val="65498112"/>
      </c:barChart>
      <c:catAx>
        <c:axId val="65496576"/>
        <c:scaling>
          <c:orientation val="minMax"/>
        </c:scaling>
        <c:axPos val="b"/>
        <c:tickLblPos val="nextTo"/>
        <c:crossAx val="65498112"/>
        <c:crosses val="autoZero"/>
        <c:auto val="1"/>
        <c:lblAlgn val="ctr"/>
        <c:lblOffset val="100"/>
      </c:catAx>
      <c:valAx>
        <c:axId val="65498112"/>
        <c:scaling>
          <c:orientation val="minMax"/>
        </c:scaling>
        <c:axPos val="l"/>
        <c:majorGridlines/>
        <c:numFmt formatCode="0%" sourceLinked="1"/>
        <c:tickLblPos val="nextTo"/>
        <c:crossAx val="654965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бюджета (%)</a:t>
            </a:r>
          </a:p>
        </c:rich>
      </c:tx>
      <c:layout/>
    </c:title>
    <c:plotArea>
      <c:layout/>
      <c:pieChart>
        <c:varyColors val="1"/>
        <c:ser>
          <c:idx val="0"/>
          <c:order val="0"/>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22785507.779999997</c:v>
                </c:pt>
                <c:pt idx="1">
                  <c:v>435500</c:v>
                </c:pt>
                <c:pt idx="2">
                  <c:v>84674.92</c:v>
                </c:pt>
                <c:pt idx="3">
                  <c:v>10000054.65</c:v>
                </c:pt>
                <c:pt idx="4">
                  <c:v>9146576</c:v>
                </c:pt>
                <c:pt idx="5">
                  <c:v>1654.1599999999999</c:v>
                </c:pt>
                <c:pt idx="6">
                  <c:v>256858.17</c:v>
                </c:pt>
                <c:pt idx="7">
                  <c:v>15606867.08</c:v>
                </c:pt>
                <c:pt idx="8">
                  <c:v>399000</c:v>
                </c:pt>
                <c:pt idx="9">
                  <c:v>0</c:v>
                </c:pt>
              </c:numCache>
            </c:numRef>
          </c:val>
        </c:ser>
        <c:ser>
          <c:idx val="1"/>
          <c:order val="1"/>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38.805843294229852</c:v>
                </c:pt>
                <c:pt idx="1">
                  <c:v>0.74169708736844875</c:v>
                </c:pt>
                <c:pt idx="2">
                  <c:v>0.14420928022309162</c:v>
                </c:pt>
                <c:pt idx="3">
                  <c:v>17.031025045764174</c:v>
                </c:pt>
                <c:pt idx="4">
                  <c:v>15.577471363017548</c:v>
                </c:pt>
                <c:pt idx="6">
                  <c:v>0.43745340196507415</c:v>
                </c:pt>
                <c:pt idx="7">
                  <c:v>26.57994915311712</c:v>
                </c:pt>
                <c:pt idx="8">
                  <c:v>0.67953418567166557</c:v>
                </c:pt>
                <c:pt idx="9">
                  <c:v>0</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B29AE-214C-4555-9DFC-FFDD5953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Pages>
  <Words>1383</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Бухглатер</dc:creator>
  <cp:lastModifiedBy>Юрист</cp:lastModifiedBy>
  <cp:revision>49</cp:revision>
  <cp:lastPrinted>2020-11-30T06:29:00Z</cp:lastPrinted>
  <dcterms:created xsi:type="dcterms:W3CDTF">2016-02-24T05:11:00Z</dcterms:created>
  <dcterms:modified xsi:type="dcterms:W3CDTF">2020-11-30T06:30:00Z</dcterms:modified>
</cp:coreProperties>
</file>