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F" w:rsidRPr="0056163E" w:rsidRDefault="00CB1B6F" w:rsidP="007700C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ab/>
        <w:t>Пояснительная записка к отчету об исполнении бюджета сельского поселения Мулымья за 20</w:t>
      </w:r>
      <w:r w:rsidR="0056163E" w:rsidRPr="0056163E">
        <w:rPr>
          <w:rFonts w:ascii="Times New Roman" w:hAnsi="Times New Roman"/>
          <w:sz w:val="28"/>
          <w:szCs w:val="28"/>
        </w:rPr>
        <w:t>20</w:t>
      </w:r>
      <w:r w:rsidRPr="0056163E">
        <w:rPr>
          <w:rFonts w:ascii="Times New Roman" w:hAnsi="Times New Roman"/>
          <w:sz w:val="28"/>
          <w:szCs w:val="28"/>
        </w:rPr>
        <w:t xml:space="preserve"> год</w:t>
      </w:r>
      <w:r w:rsidR="007700CA" w:rsidRPr="0056163E">
        <w:rPr>
          <w:rFonts w:ascii="Times New Roman" w:hAnsi="Times New Roman"/>
          <w:sz w:val="28"/>
          <w:szCs w:val="28"/>
        </w:rPr>
        <w:t>.</w:t>
      </w:r>
    </w:p>
    <w:p w:rsidR="00A642DB" w:rsidRPr="0056163E" w:rsidRDefault="00A642DB" w:rsidP="007700C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6163E" w:rsidRPr="0056163E" w:rsidRDefault="0056163E" w:rsidP="0056163E">
      <w:pPr>
        <w:pStyle w:val="a3"/>
        <w:spacing w:line="360" w:lineRule="auto"/>
        <w:ind w:firstLine="709"/>
        <w:jc w:val="both"/>
        <w:rPr>
          <w:szCs w:val="28"/>
        </w:rPr>
      </w:pPr>
      <w:r w:rsidRPr="0056163E">
        <w:rPr>
          <w:szCs w:val="28"/>
        </w:rPr>
        <w:t xml:space="preserve">Бюджет сельского поселения Мулымья на 2020 год по доходам, с учетом внесенных изменений, утвержден в размере </w:t>
      </w:r>
      <w:r w:rsidRPr="0056163E">
        <w:rPr>
          <w:rStyle w:val="a9"/>
          <w:szCs w:val="28"/>
        </w:rPr>
        <w:t>60 146 359,81</w:t>
      </w:r>
      <w:r w:rsidRPr="0056163E">
        <w:rPr>
          <w:szCs w:val="28"/>
        </w:rPr>
        <w:t xml:space="preserve"> руб., что составляет 89,76 %по отношению к бюджету 2019 года (</w:t>
      </w:r>
      <w:r w:rsidRPr="0056163E">
        <w:rPr>
          <w:rStyle w:val="a9"/>
          <w:szCs w:val="28"/>
        </w:rPr>
        <w:t>67 010 372,25</w:t>
      </w:r>
      <w:r w:rsidRPr="0056163E">
        <w:rPr>
          <w:szCs w:val="28"/>
        </w:rPr>
        <w:t xml:space="preserve"> руб.). По расходам бюджет поселения утвержден в размере </w:t>
      </w:r>
      <w:r w:rsidRPr="0056163E">
        <w:rPr>
          <w:rStyle w:val="a9"/>
          <w:szCs w:val="28"/>
        </w:rPr>
        <w:t>67 304 415,21</w:t>
      </w:r>
      <w:r w:rsidRPr="0056163E">
        <w:rPr>
          <w:szCs w:val="28"/>
        </w:rPr>
        <w:t xml:space="preserve"> руб., что составило 100,79 % по отношению к бюджету 2018 года (</w:t>
      </w:r>
      <w:r w:rsidRPr="0056163E">
        <w:rPr>
          <w:rStyle w:val="a9"/>
          <w:szCs w:val="28"/>
        </w:rPr>
        <w:t>67 836 153,43</w:t>
      </w:r>
      <w:r w:rsidRPr="0056163E">
        <w:rPr>
          <w:szCs w:val="28"/>
        </w:rPr>
        <w:t xml:space="preserve"> руб.).</w:t>
      </w:r>
    </w:p>
    <w:p w:rsidR="0056163E" w:rsidRPr="0056163E" w:rsidRDefault="0056163E" w:rsidP="0056163E">
      <w:pPr>
        <w:pStyle w:val="a3"/>
        <w:spacing w:line="360" w:lineRule="auto"/>
        <w:ind w:firstLine="709"/>
        <w:jc w:val="both"/>
        <w:rPr>
          <w:szCs w:val="28"/>
        </w:rPr>
      </w:pPr>
      <w:r w:rsidRPr="0056163E">
        <w:rPr>
          <w:szCs w:val="28"/>
        </w:rPr>
        <w:t xml:space="preserve">Налоговые доходы. Исполнение, по налоговым доходам повысилось по сравнению с 2019 годом (11 001 012,73 руб.) и составило 11 481 901,39 руб., т.е. 104, 37%. </w:t>
      </w:r>
    </w:p>
    <w:p w:rsidR="0056163E" w:rsidRPr="0056163E" w:rsidRDefault="0056163E" w:rsidP="0056163E">
      <w:pPr>
        <w:pStyle w:val="a3"/>
        <w:spacing w:line="360" w:lineRule="auto"/>
        <w:ind w:firstLine="709"/>
        <w:jc w:val="both"/>
        <w:rPr>
          <w:szCs w:val="28"/>
        </w:rPr>
      </w:pPr>
      <w:r w:rsidRPr="0056163E">
        <w:rPr>
          <w:szCs w:val="28"/>
        </w:rPr>
        <w:t>Повышение поступления налога на доходы физических лиц с                 6 101 392,78 до 6 689 273,08 рублей, что составляет 109,64% от исполнения 2019 года. Поступление от налогов на совокупный доход понизилось с 168 148,18 до 167 966,53 рублей. Поступления по земельному налогу повысилось на 76 338,43 рублей с 218 107,69 до 294 446,12 рублей, а по налогу на имущество физических лиц поступления снизилось на 147 124,07 рублей (с 385 267,40  до 349 392,74 рублей). Поступления по государственной пошлине снизилось на 5 380 рублей с 21 580,0 до 16 200 рублей, что составило 75,07%.</w:t>
      </w:r>
    </w:p>
    <w:p w:rsidR="0056163E" w:rsidRPr="0056163E" w:rsidRDefault="0056163E" w:rsidP="0056163E">
      <w:pPr>
        <w:pStyle w:val="a3"/>
        <w:spacing w:line="360" w:lineRule="auto"/>
        <w:ind w:firstLine="709"/>
        <w:jc w:val="both"/>
        <w:rPr>
          <w:szCs w:val="28"/>
        </w:rPr>
      </w:pPr>
      <w:r w:rsidRPr="0056163E">
        <w:rPr>
          <w:szCs w:val="28"/>
        </w:rPr>
        <w:t xml:space="preserve">Неналоговые доходы. Поступления неналоговых доходов в 2020 составили  610 659,25 рублей, что составляет 65,57 % от исполнения 2019 г (931 359,22 рублей). </w:t>
      </w:r>
      <w:proofErr w:type="gramStart"/>
      <w:r w:rsidRPr="0056163E">
        <w:rPr>
          <w:szCs w:val="28"/>
        </w:rPr>
        <w:t xml:space="preserve">В том числе 519 810,73 рублей –  доходы от использования имущества, находящегося в государственной и муниципальной собственности,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задолженности, также дополнительной арендной платой за сдачу техники (автогрейдер) и площадей муниципальной собственности (почта, </w:t>
      </w:r>
      <w:proofErr w:type="spellStart"/>
      <w:r w:rsidRPr="0056163E">
        <w:rPr>
          <w:szCs w:val="28"/>
        </w:rPr>
        <w:t>Югон</w:t>
      </w:r>
      <w:proofErr w:type="spellEnd"/>
      <w:r w:rsidRPr="0056163E">
        <w:rPr>
          <w:szCs w:val="28"/>
        </w:rPr>
        <w:t xml:space="preserve"> - Газ).</w:t>
      </w:r>
      <w:proofErr w:type="gramEnd"/>
    </w:p>
    <w:p w:rsidR="0056163E" w:rsidRPr="0056163E" w:rsidRDefault="0056163E" w:rsidP="0056163E">
      <w:pPr>
        <w:pStyle w:val="a3"/>
        <w:ind w:firstLine="709"/>
        <w:jc w:val="both"/>
        <w:rPr>
          <w:szCs w:val="28"/>
        </w:rPr>
      </w:pPr>
    </w:p>
    <w:p w:rsidR="0056163E" w:rsidRPr="0056163E" w:rsidRDefault="0056163E" w:rsidP="0056163E">
      <w:pPr>
        <w:pStyle w:val="a3"/>
        <w:spacing w:line="360" w:lineRule="auto"/>
        <w:ind w:firstLine="709"/>
        <w:jc w:val="both"/>
        <w:rPr>
          <w:b/>
          <w:szCs w:val="28"/>
        </w:rPr>
      </w:pPr>
      <w:r w:rsidRPr="0056163E">
        <w:rPr>
          <w:b/>
          <w:szCs w:val="28"/>
        </w:rPr>
        <w:t>Долевая структура исполнения доходной части бюджета за 2020г.%</w:t>
      </w:r>
    </w:p>
    <w:p w:rsidR="0056163E" w:rsidRPr="0056163E" w:rsidRDefault="0056163E" w:rsidP="0056163E">
      <w:pPr>
        <w:pStyle w:val="a3"/>
        <w:spacing w:line="360" w:lineRule="auto"/>
        <w:jc w:val="both"/>
        <w:rPr>
          <w:b/>
          <w:szCs w:val="28"/>
        </w:rPr>
      </w:pPr>
      <w:r w:rsidRPr="0056163E">
        <w:rPr>
          <w:b/>
          <w:noProof/>
          <w:szCs w:val="28"/>
        </w:rPr>
        <w:lastRenderedPageBreak/>
        <w:drawing>
          <wp:inline distT="0" distB="0" distL="0" distR="0">
            <wp:extent cx="5940425" cy="3824582"/>
            <wp:effectExtent l="19050" t="0" r="22225" b="446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163E" w:rsidRPr="0056163E" w:rsidRDefault="0056163E" w:rsidP="0056163E">
      <w:pPr>
        <w:pStyle w:val="a3"/>
        <w:spacing w:line="360" w:lineRule="auto"/>
        <w:jc w:val="both"/>
        <w:rPr>
          <w:b/>
          <w:szCs w:val="28"/>
        </w:rPr>
      </w:pPr>
    </w:p>
    <w:p w:rsidR="0056163E" w:rsidRPr="0056163E" w:rsidRDefault="0056163E" w:rsidP="0056163E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63E">
        <w:rPr>
          <w:rFonts w:ascii="Times New Roman" w:hAnsi="Times New Roman"/>
          <w:b/>
          <w:bCs/>
          <w:sz w:val="28"/>
          <w:szCs w:val="28"/>
        </w:rPr>
        <w:t>Анализ исполнения расходной части бюджета за 2020 год</w:t>
      </w:r>
    </w:p>
    <w:p w:rsidR="0056163E" w:rsidRPr="0056163E" w:rsidRDefault="0056163E" w:rsidP="005616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Расходная часть бюджета на 2020 год утверждена в сумме 67 304 415,21 рублей, фактическое исполнение за 2020 год составило 65 029 348,41 рублей или 96,62 % от уточненного плана.</w:t>
      </w:r>
    </w:p>
    <w:p w:rsidR="0056163E" w:rsidRPr="0056163E" w:rsidRDefault="0056163E" w:rsidP="0056163E">
      <w:pPr>
        <w:ind w:right="339"/>
        <w:jc w:val="both"/>
        <w:rPr>
          <w:rFonts w:ascii="Times New Roman" w:hAnsi="Times New Roman"/>
          <w:b/>
          <w:bCs/>
          <w:sz w:val="28"/>
          <w:szCs w:val="28"/>
        </w:rPr>
      </w:pPr>
      <w:r w:rsidRPr="0056163E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486525" cy="35242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163E" w:rsidRPr="0056163E" w:rsidRDefault="0056163E" w:rsidP="0056163E">
      <w:pPr>
        <w:ind w:right="340" w:firstLine="709"/>
        <w:jc w:val="both"/>
        <w:rPr>
          <w:rFonts w:ascii="Times New Roman" w:hAnsi="Times New Roman"/>
          <w:sz w:val="28"/>
          <w:szCs w:val="28"/>
        </w:rPr>
      </w:pPr>
    </w:p>
    <w:p w:rsidR="0056163E" w:rsidRPr="0056163E" w:rsidRDefault="0056163E" w:rsidP="0056163E">
      <w:pPr>
        <w:spacing w:line="360" w:lineRule="auto"/>
        <w:ind w:right="3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63E">
        <w:rPr>
          <w:rFonts w:ascii="Times New Roman" w:hAnsi="Times New Roman"/>
          <w:sz w:val="28"/>
          <w:szCs w:val="28"/>
        </w:rPr>
        <w:lastRenderedPageBreak/>
        <w:t>Из представленной диаграммы видно, что основную долю расходов в общем объеме занимают расходы на общегосударственные вопросы – 43,44 %, национальная экономика – 19,95 %,  культуру и кинематографию – 19,81 %, жилищно-коммунальное хозяйство – 14,96%, национальная оборона – 0,72%; социальная политика – 0,61 %, образование – 0,32%, национальная безопасность и правоохранительная деятельность – 0,19 %.</w:t>
      </w:r>
      <w:proofErr w:type="gramEnd"/>
    </w:p>
    <w:p w:rsidR="0056163E" w:rsidRPr="0056163E" w:rsidRDefault="0056163E" w:rsidP="0056163E">
      <w:pPr>
        <w:ind w:right="33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63E">
        <w:rPr>
          <w:rFonts w:ascii="Times New Roman" w:hAnsi="Times New Roman"/>
          <w:b/>
          <w:bCs/>
          <w:sz w:val="28"/>
          <w:szCs w:val="28"/>
        </w:rPr>
        <w:t>Сравнительный анализ исполнения бюджета по расходам в разрезе разделов бюджетной классификации за 2019 год и 2020 годы,  рублей</w:t>
      </w:r>
    </w:p>
    <w:tbl>
      <w:tblPr>
        <w:tblW w:w="10328" w:type="dxa"/>
        <w:tblInd w:w="93" w:type="dxa"/>
        <w:tblLook w:val="04A0"/>
      </w:tblPr>
      <w:tblGrid>
        <w:gridCol w:w="2011"/>
        <w:gridCol w:w="1184"/>
        <w:gridCol w:w="1184"/>
        <w:gridCol w:w="1184"/>
        <w:gridCol w:w="1253"/>
        <w:gridCol w:w="1195"/>
        <w:gridCol w:w="1143"/>
        <w:gridCol w:w="1174"/>
      </w:tblGrid>
      <w:tr w:rsidR="0056163E" w:rsidRPr="0056163E" w:rsidTr="0056163E">
        <w:trPr>
          <w:trHeight w:val="315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Исполнение бюджета 2019г.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Бюджет 2020 года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% Удельный вес исполнения за 2019 год в структуре расходов</w:t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%Удельный вес исполнения за 2020 год в структуре расходов</w:t>
            </w:r>
          </w:p>
        </w:tc>
      </w:tr>
      <w:tr w:rsidR="0056163E" w:rsidRPr="0056163E" w:rsidTr="0056163E">
        <w:trPr>
          <w:trHeight w:val="975"/>
        </w:trPr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исполнения к уточненному плану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исполнения 2020 года к исполнению 2019 года</w:t>
            </w:r>
          </w:p>
        </w:tc>
        <w:tc>
          <w:tcPr>
            <w:tcW w:w="1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63E" w:rsidRPr="0056163E" w:rsidTr="0056163E">
        <w:trPr>
          <w:trHeight w:val="495"/>
        </w:trPr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63E">
              <w:rPr>
                <w:rFonts w:ascii="Times New Roman" w:hAnsi="Times New Roman"/>
                <w:sz w:val="28"/>
                <w:szCs w:val="28"/>
              </w:rPr>
              <w:t>Плановые</w:t>
            </w:r>
            <w:proofErr w:type="gramEnd"/>
            <w:r w:rsidRPr="0056163E">
              <w:rPr>
                <w:rFonts w:ascii="Times New Roman" w:hAnsi="Times New Roman"/>
                <w:sz w:val="28"/>
                <w:szCs w:val="28"/>
              </w:rPr>
              <w:t xml:space="preserve"> назначение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Исполнение  2020 г.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63E" w:rsidRPr="0056163E" w:rsidTr="0056163E">
        <w:trPr>
          <w:trHeight w:val="315"/>
        </w:trPr>
        <w:tc>
          <w:tcPr>
            <w:tcW w:w="2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6=5\4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7=5\3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6163E" w:rsidRPr="0056163E" w:rsidTr="0056163E">
        <w:trPr>
          <w:trHeight w:val="495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Всего расходов, в том числе: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5871692,76 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67304415,21 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65029348,41  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0,966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1,108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63E" w:rsidRPr="0056163E" w:rsidRDefault="0056163E" w:rsidP="00453D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96,62</w:t>
            </w:r>
          </w:p>
        </w:tc>
      </w:tr>
      <w:tr w:rsidR="0056163E" w:rsidRPr="0056163E" w:rsidTr="0056163E">
        <w:trPr>
          <w:trHeight w:val="495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22785507,78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29271274,46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28249382,23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0,965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1,240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43,44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63E" w:rsidRPr="0056163E" w:rsidRDefault="0056163E" w:rsidP="00453D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96,51</w:t>
            </w:r>
          </w:p>
        </w:tc>
      </w:tr>
      <w:tr w:rsidR="0056163E" w:rsidRPr="0056163E" w:rsidTr="0056163E">
        <w:trPr>
          <w:trHeight w:val="31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435 500,00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465 371,43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465 371,43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1,069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63E" w:rsidRPr="0056163E" w:rsidRDefault="0056163E" w:rsidP="00453D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56163E" w:rsidRPr="0056163E" w:rsidTr="0056163E">
        <w:trPr>
          <w:trHeight w:val="975"/>
        </w:trPr>
        <w:tc>
          <w:tcPr>
            <w:tcW w:w="20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</w:t>
            </w:r>
            <w:r w:rsidRPr="0056163E">
              <w:rPr>
                <w:rFonts w:ascii="Times New Roman" w:hAnsi="Times New Roman"/>
                <w:sz w:val="28"/>
                <w:szCs w:val="28"/>
              </w:rPr>
              <w:lastRenderedPageBreak/>
              <w:t>льная деятельность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84 674,92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1 226 397,00 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124 141,33 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0,101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1,466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63E" w:rsidRPr="0056163E" w:rsidRDefault="0056163E" w:rsidP="00453D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10,12</w:t>
            </w:r>
          </w:p>
        </w:tc>
      </w:tr>
      <w:tr w:rsidR="0056163E" w:rsidRPr="0056163E" w:rsidTr="0056163E">
        <w:trPr>
          <w:trHeight w:val="315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10000054,65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13038702,13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12974711,51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0,995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1,297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19,95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63E" w:rsidRPr="0056163E" w:rsidRDefault="0056163E" w:rsidP="00453D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99,51</w:t>
            </w:r>
          </w:p>
        </w:tc>
      </w:tr>
      <w:tr w:rsidR="0056163E" w:rsidRPr="0056163E" w:rsidTr="0056163E">
        <w:trPr>
          <w:trHeight w:val="495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Жилищно-коммунальное 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9 146 576,00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9 811 067,15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9 729 260,87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0,992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1,064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14,96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63E" w:rsidRPr="0056163E" w:rsidRDefault="0056163E" w:rsidP="00453D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99,17</w:t>
            </w:r>
          </w:p>
        </w:tc>
      </w:tr>
      <w:tr w:rsidR="0056163E" w:rsidRPr="0056163E" w:rsidTr="0056163E">
        <w:trPr>
          <w:trHeight w:val="495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1 654,16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0,00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0,00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#ДЕЛ/0!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#ДЕЛ/0!</w:t>
            </w:r>
          </w:p>
        </w:tc>
      </w:tr>
      <w:tr w:rsidR="0056163E" w:rsidRPr="0056163E" w:rsidTr="0056163E">
        <w:trPr>
          <w:trHeight w:val="315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256 858,17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209 619,93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209 619,93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0,816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63E" w:rsidRPr="0056163E" w:rsidRDefault="0056163E" w:rsidP="00453D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56163E" w:rsidRPr="0056163E" w:rsidTr="0056163E">
        <w:trPr>
          <w:trHeight w:val="495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15606867,08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12885983,11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12880861,11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0,825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19,81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63E" w:rsidRPr="0056163E" w:rsidRDefault="0056163E" w:rsidP="00453D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99,96</w:t>
            </w:r>
          </w:p>
        </w:tc>
      </w:tr>
      <w:tr w:rsidR="0056163E" w:rsidRPr="0056163E" w:rsidTr="0056163E">
        <w:trPr>
          <w:trHeight w:val="315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399 000,00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396 000,00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 xml:space="preserve">396 000,00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0,992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6163E" w:rsidRPr="0056163E" w:rsidRDefault="0056163E" w:rsidP="00453D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63E" w:rsidRPr="0056163E" w:rsidRDefault="0056163E" w:rsidP="00453D7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163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</w:tbl>
    <w:p w:rsidR="0056163E" w:rsidRPr="0056163E" w:rsidRDefault="0056163E" w:rsidP="005616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63E" w:rsidRPr="0056163E" w:rsidRDefault="0056163E" w:rsidP="005616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Из представленных в таблице данных следует, что исполнение бюджетных назначений осуществлялось к уровню исполнения расходов бюджета в соответствии с утверждённой бюджетной росписью.</w:t>
      </w:r>
    </w:p>
    <w:p w:rsidR="0056163E" w:rsidRPr="0056163E" w:rsidRDefault="0056163E" w:rsidP="005616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 xml:space="preserve">Расходы бюджета по разделам профинансированы в объемах, не превышающих утвержденные бюджетом поселения на 2020 год. </w:t>
      </w:r>
    </w:p>
    <w:p w:rsidR="0056163E" w:rsidRPr="0056163E" w:rsidRDefault="0056163E" w:rsidP="005616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Исполнение расходов по функциональной классификации характеризуется следующим образом.</w:t>
      </w:r>
    </w:p>
    <w:p w:rsidR="0056163E" w:rsidRPr="0056163E" w:rsidRDefault="0056163E" w:rsidP="0056163E">
      <w:pPr>
        <w:widowControl w:val="0"/>
        <w:tabs>
          <w:tab w:val="left" w:pos="450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163E">
        <w:rPr>
          <w:rFonts w:ascii="Times New Roman" w:hAnsi="Times New Roman"/>
          <w:b/>
          <w:bCs/>
          <w:sz w:val="28"/>
          <w:szCs w:val="28"/>
        </w:rPr>
        <w:t>Структура расходов бюджета в разрезе подразделов функциональной классификации представлена в 2020 году следующими данными:</w:t>
      </w:r>
    </w:p>
    <w:p w:rsidR="0056163E" w:rsidRPr="0056163E" w:rsidRDefault="0056163E" w:rsidP="0056163E">
      <w:pPr>
        <w:tabs>
          <w:tab w:val="left" w:pos="61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 xml:space="preserve">По разделу </w:t>
      </w:r>
      <w:r w:rsidRPr="0056163E">
        <w:rPr>
          <w:rFonts w:ascii="Times New Roman" w:hAnsi="Times New Roman"/>
          <w:b/>
          <w:bCs/>
          <w:sz w:val="28"/>
          <w:szCs w:val="28"/>
        </w:rPr>
        <w:t xml:space="preserve">0100 «Общегосударственные вопросы» </w:t>
      </w:r>
      <w:r w:rsidRPr="0056163E">
        <w:rPr>
          <w:rFonts w:ascii="Times New Roman" w:hAnsi="Times New Roman"/>
          <w:sz w:val="28"/>
          <w:szCs w:val="28"/>
        </w:rPr>
        <w:t>отражаются расходы на содержание органа местного самоуправления. Расходы составили 28 249 382,23 рублей или 96,51 % от планового назначения. К данному разделу относятся следующие подразделы:</w:t>
      </w:r>
    </w:p>
    <w:p w:rsidR="0056163E" w:rsidRPr="0056163E" w:rsidRDefault="0056163E" w:rsidP="0056163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lastRenderedPageBreak/>
        <w:t>0102 «Функционирование высшего должностного лица субъекта РФ и муниципального образования» – 1 866 050,40 или 100% от плана;</w:t>
      </w:r>
    </w:p>
    <w:p w:rsidR="0056163E" w:rsidRPr="0056163E" w:rsidRDefault="0056163E" w:rsidP="0056163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– 9 621 447,16 или 100% от плана;</w:t>
      </w:r>
    </w:p>
    <w:p w:rsidR="0056163E" w:rsidRPr="0056163E" w:rsidRDefault="0056163E" w:rsidP="0056163E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0107 «Обеспечение проведения выборов и референдумов» -      833 713,00 или 100% от плана;</w:t>
      </w:r>
    </w:p>
    <w:p w:rsidR="0056163E" w:rsidRPr="0056163E" w:rsidRDefault="0056163E" w:rsidP="0056163E">
      <w:pPr>
        <w:pStyle w:val="a5"/>
        <w:numPr>
          <w:ilvl w:val="0"/>
          <w:numId w:val="10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0113 «Другие общегосударственные вопросы» – 15 928 171,67 или 93,97 % от плана.</w:t>
      </w:r>
    </w:p>
    <w:p w:rsidR="0056163E" w:rsidRPr="0056163E" w:rsidRDefault="0056163E" w:rsidP="005616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b/>
          <w:bCs/>
          <w:sz w:val="28"/>
          <w:szCs w:val="28"/>
        </w:rPr>
        <w:t>Раздел 0200 «</w:t>
      </w:r>
      <w:r w:rsidRPr="0056163E">
        <w:rPr>
          <w:rStyle w:val="a8"/>
          <w:rFonts w:ascii="Times New Roman" w:eastAsia="Arial Unicode MS" w:hAnsi="Times New Roman"/>
          <w:sz w:val="28"/>
          <w:szCs w:val="28"/>
        </w:rPr>
        <w:t>Национальная оборона»</w:t>
      </w:r>
      <w:r w:rsidRPr="0056163E">
        <w:rPr>
          <w:rFonts w:ascii="Times New Roman" w:hAnsi="Times New Roman"/>
          <w:sz w:val="28"/>
          <w:szCs w:val="28"/>
        </w:rPr>
        <w:t>. В рамках произведенных расходов осуществлялось финансирование подразделу 0203 «Мобилизационная и вневойсковая подготовка», по которому отражаются расходы по субвенции на осуществление первичного воинского учета на территориях, где отсутствуют военные комиссариаты. Расходы за 2020 год составили   465 371,43 рублей.</w:t>
      </w:r>
    </w:p>
    <w:p w:rsidR="0056163E" w:rsidRPr="0056163E" w:rsidRDefault="0056163E" w:rsidP="0056163E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b/>
          <w:sz w:val="28"/>
          <w:szCs w:val="28"/>
        </w:rPr>
        <w:t>Раздел 0300 «Национальная безопасность и правоохранительная деятельность»</w:t>
      </w:r>
      <w:r w:rsidRPr="0056163E">
        <w:rPr>
          <w:rFonts w:ascii="Times New Roman" w:hAnsi="Times New Roman"/>
          <w:sz w:val="28"/>
          <w:szCs w:val="28"/>
        </w:rPr>
        <w:t>. В рамках произведенных расходов осуществлялось финансирование следующих подразделов:</w:t>
      </w:r>
    </w:p>
    <w:p w:rsidR="0056163E" w:rsidRPr="0056163E" w:rsidRDefault="0056163E" w:rsidP="0056163E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bCs/>
          <w:sz w:val="28"/>
          <w:szCs w:val="28"/>
        </w:rPr>
        <w:t>0304 «Органы юстиции»</w:t>
      </w:r>
      <w:r w:rsidRPr="0056163E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56163E">
        <w:rPr>
          <w:rFonts w:ascii="Times New Roman" w:hAnsi="Times New Roman"/>
          <w:sz w:val="28"/>
          <w:szCs w:val="28"/>
        </w:rPr>
        <w:t>по данному подразделу отражаются расходы по субвенции государственной регистрации актов гражданского состояния: за счет средств федерального план  составляет  39 925,37 рублей, за счет средств окружного бюджета 9 260,71 рублей;</w:t>
      </w:r>
    </w:p>
    <w:p w:rsidR="0056163E" w:rsidRPr="0056163E" w:rsidRDefault="0056163E" w:rsidP="0056163E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0309 «Защита населения и территории от ЧС природного и техногенного характера, гражданская оборона – 1 102 255,67 рублей</w:t>
      </w:r>
    </w:p>
    <w:p w:rsidR="0056163E" w:rsidRPr="0056163E" w:rsidRDefault="0056163E" w:rsidP="0056163E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0314 «Обеспечение прав и законных интересов населения Кондинского района в отдельных сферах жизнедеятельности» - по данному подразделу отражаются расходы  на приобретение материальных ценностей  по профилактики терроризма и экстремизма в сумме 74 164,50 рублей.</w:t>
      </w:r>
    </w:p>
    <w:p w:rsidR="0056163E" w:rsidRPr="0056163E" w:rsidRDefault="0056163E" w:rsidP="0056163E">
      <w:pPr>
        <w:spacing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По разделу</w:t>
      </w:r>
      <w:r w:rsidRPr="0056163E">
        <w:rPr>
          <w:rFonts w:ascii="Times New Roman" w:hAnsi="Times New Roman"/>
          <w:b/>
          <w:bCs/>
          <w:sz w:val="28"/>
          <w:szCs w:val="28"/>
        </w:rPr>
        <w:t xml:space="preserve"> 0400 «Национальная экономика» </w:t>
      </w:r>
      <w:r w:rsidRPr="0056163E">
        <w:rPr>
          <w:rFonts w:ascii="Times New Roman" w:hAnsi="Times New Roman"/>
          <w:sz w:val="28"/>
          <w:szCs w:val="28"/>
        </w:rPr>
        <w:t xml:space="preserve">произведены расходы на сумму </w:t>
      </w:r>
      <w:r w:rsidRPr="0056163E">
        <w:rPr>
          <w:rFonts w:ascii="Times New Roman" w:hAnsi="Times New Roman"/>
          <w:bCs/>
          <w:sz w:val="28"/>
          <w:szCs w:val="28"/>
        </w:rPr>
        <w:t xml:space="preserve">12 974 711,51 </w:t>
      </w:r>
      <w:r w:rsidRPr="0056163E">
        <w:rPr>
          <w:rFonts w:ascii="Times New Roman" w:hAnsi="Times New Roman"/>
          <w:sz w:val="28"/>
          <w:szCs w:val="28"/>
        </w:rPr>
        <w:t>рублей при  плане 13 038 702,13 рублей исполнение составляет 99,51%.</w:t>
      </w:r>
    </w:p>
    <w:p w:rsidR="0056163E" w:rsidRPr="0056163E" w:rsidRDefault="0056163E" w:rsidP="0056163E">
      <w:pPr>
        <w:pStyle w:val="3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lastRenderedPageBreak/>
        <w:t>В рамках произведенных расходов осуществлялось финансирование следующих подразделов:</w:t>
      </w:r>
    </w:p>
    <w:p w:rsidR="0056163E" w:rsidRPr="0056163E" w:rsidRDefault="0056163E" w:rsidP="0056163E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bCs/>
          <w:sz w:val="28"/>
          <w:szCs w:val="28"/>
        </w:rPr>
        <w:t>0401 «Общеэкономические вопросы»</w:t>
      </w:r>
      <w:r w:rsidRPr="0056163E">
        <w:rPr>
          <w:rFonts w:ascii="Times New Roman" w:hAnsi="Times New Roman"/>
          <w:sz w:val="28"/>
          <w:szCs w:val="28"/>
        </w:rPr>
        <w:t xml:space="preserve"> - по данному подразделу отражаются расходы в рамках окружной целевой программы «Содействие занятости населения». Исполнение составляет </w:t>
      </w:r>
      <w:r w:rsidRPr="0056163E">
        <w:rPr>
          <w:rFonts w:ascii="Times New Roman" w:hAnsi="Times New Roman"/>
          <w:bCs/>
          <w:sz w:val="28"/>
          <w:szCs w:val="28"/>
        </w:rPr>
        <w:t xml:space="preserve">3 205 512,36 </w:t>
      </w:r>
      <w:r w:rsidRPr="0056163E">
        <w:rPr>
          <w:rFonts w:ascii="Times New Roman" w:hAnsi="Times New Roman"/>
          <w:sz w:val="28"/>
          <w:szCs w:val="28"/>
        </w:rPr>
        <w:t xml:space="preserve">рублей при плане </w:t>
      </w:r>
      <w:r w:rsidRPr="0056163E">
        <w:rPr>
          <w:rFonts w:ascii="Times New Roman" w:hAnsi="Times New Roman"/>
          <w:bCs/>
          <w:sz w:val="28"/>
          <w:szCs w:val="28"/>
        </w:rPr>
        <w:t xml:space="preserve"> 3 205 512,36 </w:t>
      </w:r>
      <w:r w:rsidRPr="0056163E">
        <w:rPr>
          <w:rFonts w:ascii="Times New Roman" w:hAnsi="Times New Roman"/>
          <w:sz w:val="28"/>
          <w:szCs w:val="28"/>
        </w:rPr>
        <w:t>рублей;</w:t>
      </w:r>
    </w:p>
    <w:p w:rsidR="0056163E" w:rsidRPr="0056163E" w:rsidRDefault="0056163E" w:rsidP="0056163E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 xml:space="preserve">0405 «Сельское хозяйство и рыболовство» - по данному разделу отражаются расходы по отлову собак. Исполнение составляет 60 142,38 рублей или 100% от плана. </w:t>
      </w:r>
    </w:p>
    <w:p w:rsidR="0056163E" w:rsidRPr="0056163E" w:rsidRDefault="0056163E" w:rsidP="0056163E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0409 «Дорожное хозяйство» - по данному подразделу отражаются расходы содержание дорог. Исполнение составляет 99,33% от плана  или 9 512 652,46. (ремонтно-восстановительные работы и содержание дорог, приобретение и установка дорожных знаков, обустройство тротуара);</w:t>
      </w:r>
    </w:p>
    <w:p w:rsidR="0056163E" w:rsidRPr="0056163E" w:rsidRDefault="0056163E" w:rsidP="0056163E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bCs/>
          <w:sz w:val="28"/>
          <w:szCs w:val="28"/>
        </w:rPr>
        <w:t xml:space="preserve">0410 «Связь и информатика» - </w:t>
      </w:r>
      <w:r w:rsidRPr="0056163E">
        <w:rPr>
          <w:rFonts w:ascii="Times New Roman" w:hAnsi="Times New Roman"/>
          <w:sz w:val="28"/>
          <w:szCs w:val="28"/>
        </w:rPr>
        <w:t>по данному подразделу отражаются расходы  на услуги телефонной связи и интернета, а также на обслуживание программных продуктов («1С», «СБИС+», «</w:t>
      </w:r>
      <w:proofErr w:type="spellStart"/>
      <w:r w:rsidRPr="0056163E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56163E">
        <w:rPr>
          <w:rFonts w:ascii="Times New Roman" w:hAnsi="Times New Roman"/>
          <w:sz w:val="28"/>
          <w:szCs w:val="28"/>
        </w:rPr>
        <w:t>», АИС «Паспортный стол ЖЭО», АС «Бюджет», обслуживание сайта) исполнение составляет 196 404,31 рубля или 100%;</w:t>
      </w:r>
    </w:p>
    <w:p w:rsidR="0056163E" w:rsidRPr="0056163E" w:rsidRDefault="0056163E" w:rsidP="0056163E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 xml:space="preserve">По разделу </w:t>
      </w:r>
      <w:r w:rsidRPr="0056163E">
        <w:rPr>
          <w:rFonts w:ascii="Times New Roman" w:hAnsi="Times New Roman"/>
          <w:b/>
          <w:sz w:val="28"/>
          <w:szCs w:val="28"/>
        </w:rPr>
        <w:t xml:space="preserve">0500 «Жилищно-коммунальное хозяйство» </w:t>
      </w:r>
      <w:r w:rsidRPr="0056163E">
        <w:rPr>
          <w:rFonts w:ascii="Times New Roman" w:hAnsi="Times New Roman"/>
          <w:sz w:val="28"/>
          <w:szCs w:val="28"/>
        </w:rPr>
        <w:t>произведены расходы  на сумму 9 729 260,87 рублей при плановом назначении 9 811 067,15 рублей исполнение составляет 99,17 %.</w:t>
      </w:r>
    </w:p>
    <w:p w:rsidR="0056163E" w:rsidRPr="0056163E" w:rsidRDefault="0056163E" w:rsidP="0056163E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В рамках произведенных расходов осуществлялось финансирование следующих подразделов:</w:t>
      </w:r>
    </w:p>
    <w:p w:rsidR="0056163E" w:rsidRPr="0056163E" w:rsidRDefault="0056163E" w:rsidP="0056163E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 xml:space="preserve">0501 «Жилищное хозяйство» по данному разделу отражаются расходы по ремонту печей муниципального имущества. Расходы  за 2020 год </w:t>
      </w:r>
      <w:proofErr w:type="gramStart"/>
      <w:r w:rsidRPr="0056163E">
        <w:rPr>
          <w:rFonts w:ascii="Times New Roman" w:hAnsi="Times New Roman"/>
          <w:sz w:val="28"/>
          <w:szCs w:val="28"/>
        </w:rPr>
        <w:t>составили  40 000,00 рублей при плановом назначении 80 000,00 рублей исполнение составляет</w:t>
      </w:r>
      <w:proofErr w:type="gramEnd"/>
      <w:r w:rsidRPr="0056163E">
        <w:rPr>
          <w:rFonts w:ascii="Times New Roman" w:hAnsi="Times New Roman"/>
          <w:sz w:val="28"/>
          <w:szCs w:val="28"/>
        </w:rPr>
        <w:t xml:space="preserve"> 50,0%.</w:t>
      </w:r>
    </w:p>
    <w:p w:rsidR="0056163E" w:rsidRPr="0056163E" w:rsidRDefault="0056163E" w:rsidP="0056163E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6163E">
        <w:rPr>
          <w:rFonts w:ascii="Times New Roman" w:hAnsi="Times New Roman"/>
          <w:bCs/>
          <w:sz w:val="28"/>
          <w:szCs w:val="28"/>
        </w:rPr>
        <w:t xml:space="preserve">0503 «Благоустройство» </w:t>
      </w:r>
      <w:r w:rsidRPr="0056163E">
        <w:rPr>
          <w:rFonts w:ascii="Times New Roman" w:hAnsi="Times New Roman"/>
          <w:sz w:val="28"/>
          <w:szCs w:val="28"/>
        </w:rPr>
        <w:t>в рамках данного подраздела отражаются расходы по следующим направлениям:</w:t>
      </w:r>
    </w:p>
    <w:p w:rsidR="0056163E" w:rsidRPr="0056163E" w:rsidRDefault="0056163E" w:rsidP="0056163E">
      <w:pPr>
        <w:pStyle w:val="a5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 xml:space="preserve">прочие мероприятия по благоустройству – исполнение составляет       4 666 698,29 рублей при плане 4 708 504,57 рублей. </w:t>
      </w:r>
    </w:p>
    <w:p w:rsidR="0056163E" w:rsidRPr="0056163E" w:rsidRDefault="0056163E" w:rsidP="0056163E">
      <w:pPr>
        <w:pStyle w:val="a5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lastRenderedPageBreak/>
        <w:t>проведение ежегодного конкурсного отбора проектов «народный бюджет» - исполнение составляет 701 713,00 или 100% от плана;</w:t>
      </w:r>
    </w:p>
    <w:p w:rsidR="0056163E" w:rsidRPr="0056163E" w:rsidRDefault="0056163E" w:rsidP="0056163E">
      <w:pPr>
        <w:pStyle w:val="a5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56163E">
        <w:rPr>
          <w:rFonts w:ascii="Times New Roman" w:hAnsi="Times New Roman"/>
          <w:sz w:val="28"/>
          <w:szCs w:val="28"/>
        </w:rPr>
        <w:t>иные межбюджетные трансферты,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№ 9(2018-2018)  от 21 декабря 2015 года и постановление администрации сельского поселения Мулымья от 10 ноября 2015 года № 203 «</w:t>
      </w:r>
      <w:r w:rsidRPr="0056163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56163E">
        <w:rPr>
          <w:rFonts w:ascii="Times New Roman" w:hAnsi="Times New Roman"/>
          <w:sz w:val="28"/>
          <w:szCs w:val="28"/>
        </w:rPr>
        <w:t>Порядка предоставления иных межбюджетных трансфертов из бюджета сельского поселения Мулымья» - исполнение составляет 100% или 3</w:t>
      </w:r>
      <w:proofErr w:type="gramEnd"/>
      <w:r w:rsidRPr="0056163E">
        <w:rPr>
          <w:rFonts w:ascii="Times New Roman" w:hAnsi="Times New Roman"/>
          <w:sz w:val="28"/>
          <w:szCs w:val="28"/>
        </w:rPr>
        <w:t> 838 672,48 рублей;</w:t>
      </w:r>
    </w:p>
    <w:p w:rsidR="0056163E" w:rsidRPr="0056163E" w:rsidRDefault="0056163E" w:rsidP="0056163E">
      <w:pPr>
        <w:pStyle w:val="a5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стимулирование развития практик инициативного бюджетирования – исполнение составляет 100% или 101 010,10 рублей;</w:t>
      </w:r>
    </w:p>
    <w:p w:rsidR="0056163E" w:rsidRPr="0056163E" w:rsidRDefault="0056163E" w:rsidP="0056163E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63E">
        <w:rPr>
          <w:rFonts w:ascii="Times New Roman" w:hAnsi="Times New Roman"/>
          <w:bCs/>
          <w:sz w:val="28"/>
          <w:szCs w:val="28"/>
        </w:rPr>
        <w:t xml:space="preserve">0505 «Другие вопросы в области жилищно-коммунального хозяйства» - </w:t>
      </w:r>
      <w:r w:rsidRPr="0056163E">
        <w:rPr>
          <w:rFonts w:ascii="Times New Roman" w:hAnsi="Times New Roman"/>
          <w:sz w:val="28"/>
          <w:szCs w:val="28"/>
        </w:rPr>
        <w:t>по данному подразделу отражаются расходы в виде иных межбюджетных трансфертов,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№ 9(2018-2018)  от 21 декабря 2015 года и постановление администрации сельского поселения Мулымья от 10 ноября 2015 года № 203 «</w:t>
      </w:r>
      <w:r w:rsidRPr="0056163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56163E">
        <w:rPr>
          <w:rFonts w:ascii="Times New Roman" w:hAnsi="Times New Roman"/>
          <w:sz w:val="28"/>
          <w:szCs w:val="28"/>
        </w:rPr>
        <w:t>Порядка</w:t>
      </w:r>
      <w:proofErr w:type="gramEnd"/>
      <w:r w:rsidRPr="0056163E">
        <w:rPr>
          <w:rFonts w:ascii="Times New Roman" w:hAnsi="Times New Roman"/>
          <w:sz w:val="28"/>
          <w:szCs w:val="28"/>
        </w:rPr>
        <w:t xml:space="preserve"> предоставления иных межбюджетных трансфертов из бюджета сельского поселения Мулымья». Расходы составил 381 167,00 рублей или 100% от плановых назначений.</w:t>
      </w:r>
    </w:p>
    <w:p w:rsidR="0056163E" w:rsidRPr="0056163E" w:rsidRDefault="0056163E" w:rsidP="0056163E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b/>
          <w:bCs/>
          <w:sz w:val="28"/>
          <w:szCs w:val="28"/>
        </w:rPr>
        <w:t xml:space="preserve">Раздел 0700 «Образование» - </w:t>
      </w:r>
      <w:r w:rsidRPr="0056163E">
        <w:rPr>
          <w:rFonts w:ascii="Times New Roman" w:hAnsi="Times New Roman"/>
          <w:sz w:val="28"/>
          <w:szCs w:val="28"/>
        </w:rPr>
        <w:t>в рамках данного раздела отражаются расходы по подразделу 0707 «Молодежная политика и оздоровление детей». Исполнение составляет 209 619,93 рубля или 100% от уточненного плана.</w:t>
      </w:r>
    </w:p>
    <w:p w:rsidR="0056163E" w:rsidRPr="0056163E" w:rsidRDefault="0056163E" w:rsidP="005616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b/>
          <w:bCs/>
          <w:sz w:val="28"/>
          <w:szCs w:val="28"/>
        </w:rPr>
        <w:t xml:space="preserve">Раздел 0800 «Культура, кинематография» - в рамках данного раздела осуществляются расходы по следующим подразделам </w:t>
      </w:r>
    </w:p>
    <w:p w:rsidR="0056163E" w:rsidRPr="0056163E" w:rsidRDefault="0056163E" w:rsidP="0056163E">
      <w:pPr>
        <w:pStyle w:val="a5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 xml:space="preserve">0801 отражаются расходы на содержание Муниципального учреждения «Сельский центр культуры. ШАИМ» </w:t>
      </w:r>
      <w:proofErr w:type="gramStart"/>
      <w:r w:rsidRPr="0056163E">
        <w:rPr>
          <w:rFonts w:ascii="Times New Roman" w:hAnsi="Times New Roman"/>
          <w:sz w:val="28"/>
          <w:szCs w:val="28"/>
        </w:rPr>
        <w:t>который</w:t>
      </w:r>
      <w:proofErr w:type="gramEnd"/>
      <w:r w:rsidRPr="0056163E">
        <w:rPr>
          <w:rFonts w:ascii="Times New Roman" w:hAnsi="Times New Roman"/>
          <w:sz w:val="28"/>
          <w:szCs w:val="28"/>
        </w:rPr>
        <w:t xml:space="preserve"> является юридическим лицом, штатная численность  составляет 17,75 единиц. При плане 12 885 983,11 рублей исполнение за 2020 год составляет  12 880 861,11 рублей или 99,96 %.</w:t>
      </w:r>
    </w:p>
    <w:p w:rsidR="0056163E" w:rsidRPr="0056163E" w:rsidRDefault="0056163E" w:rsidP="0056163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lastRenderedPageBreak/>
        <w:t xml:space="preserve">В рамках раздела </w:t>
      </w:r>
      <w:r w:rsidRPr="0056163E">
        <w:rPr>
          <w:rFonts w:ascii="Times New Roman" w:hAnsi="Times New Roman"/>
          <w:b/>
          <w:bCs/>
          <w:sz w:val="28"/>
          <w:szCs w:val="28"/>
        </w:rPr>
        <w:t xml:space="preserve">1000 «Социальная политика» </w:t>
      </w:r>
      <w:r w:rsidRPr="0056163E">
        <w:rPr>
          <w:rFonts w:ascii="Times New Roman" w:hAnsi="Times New Roman"/>
          <w:sz w:val="28"/>
          <w:szCs w:val="28"/>
        </w:rPr>
        <w:t>отражаются пособия и компенсации гражданам и иные социальные выплаты, кроме публичных обязательств. По подразделу 1001 «Доплата к пенсиям» исполнение составляет 100,0% от плана или 399 000,00 рублей.</w:t>
      </w:r>
    </w:p>
    <w:p w:rsidR="007700CA" w:rsidRPr="0056163E" w:rsidRDefault="007700CA" w:rsidP="007700C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44AC7" w:rsidRPr="0056163E" w:rsidRDefault="00044AC7" w:rsidP="00AD209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Глава</w:t>
      </w:r>
      <w:r w:rsidR="008413B7" w:rsidRPr="0056163E">
        <w:rPr>
          <w:rFonts w:ascii="Times New Roman" w:hAnsi="Times New Roman"/>
          <w:sz w:val="28"/>
          <w:szCs w:val="28"/>
        </w:rPr>
        <w:t xml:space="preserve"> </w:t>
      </w:r>
      <w:r w:rsidRPr="0056163E">
        <w:rPr>
          <w:rFonts w:ascii="Times New Roman" w:hAnsi="Times New Roman"/>
          <w:sz w:val="28"/>
          <w:szCs w:val="28"/>
        </w:rPr>
        <w:t>сельского</w:t>
      </w:r>
      <w:r w:rsidR="008413B7" w:rsidRPr="0056163E">
        <w:rPr>
          <w:rFonts w:ascii="Times New Roman" w:hAnsi="Times New Roman"/>
          <w:sz w:val="28"/>
          <w:szCs w:val="28"/>
        </w:rPr>
        <w:t xml:space="preserve"> </w:t>
      </w:r>
      <w:r w:rsidRPr="0056163E">
        <w:rPr>
          <w:rFonts w:ascii="Times New Roman" w:hAnsi="Times New Roman"/>
          <w:sz w:val="28"/>
          <w:szCs w:val="28"/>
        </w:rPr>
        <w:t>поселения</w:t>
      </w:r>
      <w:r w:rsidR="008413B7" w:rsidRPr="0056163E">
        <w:rPr>
          <w:rFonts w:ascii="Times New Roman" w:hAnsi="Times New Roman"/>
          <w:sz w:val="28"/>
          <w:szCs w:val="28"/>
        </w:rPr>
        <w:t xml:space="preserve"> </w:t>
      </w:r>
      <w:r w:rsidRPr="0056163E">
        <w:rPr>
          <w:rFonts w:ascii="Times New Roman" w:hAnsi="Times New Roman"/>
          <w:sz w:val="28"/>
          <w:szCs w:val="28"/>
        </w:rPr>
        <w:t>Мулымья</w:t>
      </w:r>
      <w:r w:rsidR="008413B7" w:rsidRPr="0056163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6163E">
        <w:rPr>
          <w:rFonts w:ascii="Times New Roman" w:hAnsi="Times New Roman"/>
          <w:sz w:val="28"/>
          <w:szCs w:val="28"/>
        </w:rPr>
        <w:t>Е.В.</w:t>
      </w:r>
      <w:r w:rsidR="008413B7" w:rsidRPr="0056163E">
        <w:rPr>
          <w:rFonts w:ascii="Times New Roman" w:hAnsi="Times New Roman"/>
          <w:sz w:val="28"/>
          <w:szCs w:val="28"/>
        </w:rPr>
        <w:t xml:space="preserve"> </w:t>
      </w:r>
      <w:r w:rsidRPr="0056163E">
        <w:rPr>
          <w:rFonts w:ascii="Times New Roman" w:hAnsi="Times New Roman"/>
          <w:sz w:val="28"/>
          <w:szCs w:val="28"/>
        </w:rPr>
        <w:t>Белослудцев</w:t>
      </w:r>
    </w:p>
    <w:p w:rsidR="00044AC7" w:rsidRPr="0056163E" w:rsidRDefault="00044AC7" w:rsidP="00AD209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44AC7" w:rsidRPr="0056163E" w:rsidRDefault="00044AC7" w:rsidP="00AD2090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163E">
        <w:rPr>
          <w:rFonts w:ascii="Times New Roman" w:hAnsi="Times New Roman"/>
          <w:sz w:val="28"/>
          <w:szCs w:val="28"/>
        </w:rPr>
        <w:t>Начальник</w:t>
      </w:r>
      <w:r w:rsidR="008413B7" w:rsidRPr="0056163E">
        <w:rPr>
          <w:rFonts w:ascii="Times New Roman" w:hAnsi="Times New Roman"/>
          <w:sz w:val="28"/>
          <w:szCs w:val="28"/>
        </w:rPr>
        <w:t xml:space="preserve"> </w:t>
      </w:r>
      <w:r w:rsidRPr="0056163E">
        <w:rPr>
          <w:rFonts w:ascii="Times New Roman" w:hAnsi="Times New Roman"/>
          <w:sz w:val="28"/>
          <w:szCs w:val="28"/>
        </w:rPr>
        <w:t>финансово-экономического</w:t>
      </w:r>
      <w:r w:rsidR="008413B7" w:rsidRPr="0056163E">
        <w:rPr>
          <w:rFonts w:ascii="Times New Roman" w:hAnsi="Times New Roman"/>
          <w:sz w:val="28"/>
          <w:szCs w:val="28"/>
        </w:rPr>
        <w:t xml:space="preserve"> </w:t>
      </w:r>
      <w:r w:rsidRPr="0056163E">
        <w:rPr>
          <w:rFonts w:ascii="Times New Roman" w:hAnsi="Times New Roman"/>
          <w:sz w:val="28"/>
          <w:szCs w:val="28"/>
        </w:rPr>
        <w:t>отдела</w:t>
      </w:r>
      <w:r w:rsidR="008413B7" w:rsidRPr="0056163E">
        <w:rPr>
          <w:rFonts w:ascii="Times New Roman" w:hAnsi="Times New Roman"/>
          <w:sz w:val="28"/>
          <w:szCs w:val="28"/>
        </w:rPr>
        <w:t xml:space="preserve">                       А.И. Белоусова</w:t>
      </w:r>
    </w:p>
    <w:sectPr w:rsidR="00044AC7" w:rsidRPr="0056163E" w:rsidSect="00BC1CEA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A75"/>
    <w:multiLevelType w:val="hybridMultilevel"/>
    <w:tmpl w:val="C80E3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07FB2"/>
    <w:multiLevelType w:val="hybridMultilevel"/>
    <w:tmpl w:val="D958A3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7363"/>
    <w:multiLevelType w:val="multilevel"/>
    <w:tmpl w:val="D3C6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26E72"/>
    <w:multiLevelType w:val="hybridMultilevel"/>
    <w:tmpl w:val="249E31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8D0B2E"/>
    <w:multiLevelType w:val="hybridMultilevel"/>
    <w:tmpl w:val="F19A210A"/>
    <w:lvl w:ilvl="0" w:tplc="0B0404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497865"/>
    <w:multiLevelType w:val="hybridMultilevel"/>
    <w:tmpl w:val="2C401118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70859"/>
    <w:multiLevelType w:val="multilevel"/>
    <w:tmpl w:val="B808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9193B"/>
    <w:multiLevelType w:val="hybridMultilevel"/>
    <w:tmpl w:val="1F487D2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44FF262B"/>
    <w:multiLevelType w:val="hybridMultilevel"/>
    <w:tmpl w:val="F3D86FB0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3680D"/>
    <w:multiLevelType w:val="hybridMultilevel"/>
    <w:tmpl w:val="D74A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87DCD"/>
    <w:multiLevelType w:val="hybridMultilevel"/>
    <w:tmpl w:val="82E8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A0631"/>
    <w:multiLevelType w:val="multilevel"/>
    <w:tmpl w:val="788878D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B638A"/>
    <w:multiLevelType w:val="hybridMultilevel"/>
    <w:tmpl w:val="CDEC792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D16B8"/>
    <w:multiLevelType w:val="hybridMultilevel"/>
    <w:tmpl w:val="D812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E0EBD"/>
    <w:multiLevelType w:val="hybridMultilevel"/>
    <w:tmpl w:val="51D0E74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6340A"/>
    <w:multiLevelType w:val="multilevel"/>
    <w:tmpl w:val="CC7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D3AAB"/>
    <w:multiLevelType w:val="hybridMultilevel"/>
    <w:tmpl w:val="01A0B2DC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6601E"/>
    <w:multiLevelType w:val="hybridMultilevel"/>
    <w:tmpl w:val="3D6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631B9"/>
    <w:multiLevelType w:val="hybridMultilevel"/>
    <w:tmpl w:val="993E7E8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8"/>
  </w:num>
  <w:num w:numId="16">
    <w:abstractNumId w:val="17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74"/>
    <w:rsid w:val="00000705"/>
    <w:rsid w:val="00000E25"/>
    <w:rsid w:val="00004775"/>
    <w:rsid w:val="0000704C"/>
    <w:rsid w:val="00010625"/>
    <w:rsid w:val="00011C7C"/>
    <w:rsid w:val="00012EF5"/>
    <w:rsid w:val="00016B00"/>
    <w:rsid w:val="00016B4C"/>
    <w:rsid w:val="00020616"/>
    <w:rsid w:val="00021038"/>
    <w:rsid w:val="00021422"/>
    <w:rsid w:val="00021842"/>
    <w:rsid w:val="0002334C"/>
    <w:rsid w:val="000276D0"/>
    <w:rsid w:val="0003109D"/>
    <w:rsid w:val="0003121B"/>
    <w:rsid w:val="0003263B"/>
    <w:rsid w:val="0003398B"/>
    <w:rsid w:val="00036221"/>
    <w:rsid w:val="00040F76"/>
    <w:rsid w:val="00041F1B"/>
    <w:rsid w:val="00044AC7"/>
    <w:rsid w:val="00050781"/>
    <w:rsid w:val="00063CCA"/>
    <w:rsid w:val="00067B1F"/>
    <w:rsid w:val="00077E0F"/>
    <w:rsid w:val="000837F8"/>
    <w:rsid w:val="0008564E"/>
    <w:rsid w:val="00090EBD"/>
    <w:rsid w:val="00093A93"/>
    <w:rsid w:val="00094299"/>
    <w:rsid w:val="00097192"/>
    <w:rsid w:val="000A2771"/>
    <w:rsid w:val="000A3A8C"/>
    <w:rsid w:val="000A433C"/>
    <w:rsid w:val="000A5F5D"/>
    <w:rsid w:val="000A7E91"/>
    <w:rsid w:val="000B4017"/>
    <w:rsid w:val="000B706C"/>
    <w:rsid w:val="000C06D7"/>
    <w:rsid w:val="000C0A3E"/>
    <w:rsid w:val="000C3445"/>
    <w:rsid w:val="000C5CF8"/>
    <w:rsid w:val="000C6F3E"/>
    <w:rsid w:val="000D1496"/>
    <w:rsid w:val="000D2328"/>
    <w:rsid w:val="000D4468"/>
    <w:rsid w:val="000D6B33"/>
    <w:rsid w:val="000E1A98"/>
    <w:rsid w:val="000E2938"/>
    <w:rsid w:val="000E29E8"/>
    <w:rsid w:val="000E41A9"/>
    <w:rsid w:val="000E7877"/>
    <w:rsid w:val="000F212E"/>
    <w:rsid w:val="000F462E"/>
    <w:rsid w:val="000F5251"/>
    <w:rsid w:val="000F62F7"/>
    <w:rsid w:val="000F63A4"/>
    <w:rsid w:val="00102213"/>
    <w:rsid w:val="00103514"/>
    <w:rsid w:val="00105442"/>
    <w:rsid w:val="00110518"/>
    <w:rsid w:val="0011068F"/>
    <w:rsid w:val="00113406"/>
    <w:rsid w:val="00113455"/>
    <w:rsid w:val="00124B83"/>
    <w:rsid w:val="00124F66"/>
    <w:rsid w:val="00130CE2"/>
    <w:rsid w:val="00131F58"/>
    <w:rsid w:val="00132169"/>
    <w:rsid w:val="0013460D"/>
    <w:rsid w:val="00135D0E"/>
    <w:rsid w:val="00136EA6"/>
    <w:rsid w:val="00140044"/>
    <w:rsid w:val="001413C3"/>
    <w:rsid w:val="001426E4"/>
    <w:rsid w:val="00142895"/>
    <w:rsid w:val="00147D74"/>
    <w:rsid w:val="00152938"/>
    <w:rsid w:val="00153F3F"/>
    <w:rsid w:val="00154F6B"/>
    <w:rsid w:val="00155B7B"/>
    <w:rsid w:val="0015738C"/>
    <w:rsid w:val="00160FA4"/>
    <w:rsid w:val="001645AC"/>
    <w:rsid w:val="00165353"/>
    <w:rsid w:val="001741CB"/>
    <w:rsid w:val="00174FF2"/>
    <w:rsid w:val="00175960"/>
    <w:rsid w:val="00176613"/>
    <w:rsid w:val="00177080"/>
    <w:rsid w:val="00177797"/>
    <w:rsid w:val="00182F1F"/>
    <w:rsid w:val="00183237"/>
    <w:rsid w:val="00192803"/>
    <w:rsid w:val="0019291B"/>
    <w:rsid w:val="00192F8A"/>
    <w:rsid w:val="00193A0F"/>
    <w:rsid w:val="00194FAE"/>
    <w:rsid w:val="001965A8"/>
    <w:rsid w:val="00197018"/>
    <w:rsid w:val="001A20FB"/>
    <w:rsid w:val="001A4EE6"/>
    <w:rsid w:val="001A7CC5"/>
    <w:rsid w:val="001A7E21"/>
    <w:rsid w:val="001B02BE"/>
    <w:rsid w:val="001B4DF1"/>
    <w:rsid w:val="001B5AEA"/>
    <w:rsid w:val="001B7F5B"/>
    <w:rsid w:val="001C1E8A"/>
    <w:rsid w:val="001C45AA"/>
    <w:rsid w:val="001D20DB"/>
    <w:rsid w:val="001D3F5B"/>
    <w:rsid w:val="001D457F"/>
    <w:rsid w:val="001D6DCA"/>
    <w:rsid w:val="001D7D57"/>
    <w:rsid w:val="001E45A0"/>
    <w:rsid w:val="001E55D6"/>
    <w:rsid w:val="001E69BF"/>
    <w:rsid w:val="001F10A4"/>
    <w:rsid w:val="001F56C0"/>
    <w:rsid w:val="00202F46"/>
    <w:rsid w:val="00203142"/>
    <w:rsid w:val="0021005F"/>
    <w:rsid w:val="00211962"/>
    <w:rsid w:val="00214051"/>
    <w:rsid w:val="00214A8B"/>
    <w:rsid w:val="002152C5"/>
    <w:rsid w:val="00215F38"/>
    <w:rsid w:val="002206DE"/>
    <w:rsid w:val="00220A60"/>
    <w:rsid w:val="00220A64"/>
    <w:rsid w:val="0022249D"/>
    <w:rsid w:val="00222C0B"/>
    <w:rsid w:val="002267C7"/>
    <w:rsid w:val="00231D0A"/>
    <w:rsid w:val="002330D7"/>
    <w:rsid w:val="00234F41"/>
    <w:rsid w:val="002407F2"/>
    <w:rsid w:val="00244D11"/>
    <w:rsid w:val="00245671"/>
    <w:rsid w:val="002456CF"/>
    <w:rsid w:val="002460EC"/>
    <w:rsid w:val="00250610"/>
    <w:rsid w:val="00253EC5"/>
    <w:rsid w:val="00261724"/>
    <w:rsid w:val="002617AF"/>
    <w:rsid w:val="00264C9F"/>
    <w:rsid w:val="00271410"/>
    <w:rsid w:val="0027378A"/>
    <w:rsid w:val="00274F85"/>
    <w:rsid w:val="002812D1"/>
    <w:rsid w:val="00281690"/>
    <w:rsid w:val="002832D7"/>
    <w:rsid w:val="002878C8"/>
    <w:rsid w:val="00291ED6"/>
    <w:rsid w:val="00292503"/>
    <w:rsid w:val="002A0A5F"/>
    <w:rsid w:val="002A66AA"/>
    <w:rsid w:val="002B3BBA"/>
    <w:rsid w:val="002B4BB9"/>
    <w:rsid w:val="002B6247"/>
    <w:rsid w:val="002B6593"/>
    <w:rsid w:val="002C0A65"/>
    <w:rsid w:val="002C1AF9"/>
    <w:rsid w:val="002C1E07"/>
    <w:rsid w:val="002C4D5F"/>
    <w:rsid w:val="002C6825"/>
    <w:rsid w:val="002C6B11"/>
    <w:rsid w:val="002C7CF3"/>
    <w:rsid w:val="002D34F3"/>
    <w:rsid w:val="002D483F"/>
    <w:rsid w:val="002D7DF5"/>
    <w:rsid w:val="002E17C2"/>
    <w:rsid w:val="002E22D4"/>
    <w:rsid w:val="002E2B45"/>
    <w:rsid w:val="002E59AC"/>
    <w:rsid w:val="002F12D8"/>
    <w:rsid w:val="002F6680"/>
    <w:rsid w:val="002F66FC"/>
    <w:rsid w:val="002F6F6F"/>
    <w:rsid w:val="00300017"/>
    <w:rsid w:val="0030109F"/>
    <w:rsid w:val="003026FE"/>
    <w:rsid w:val="00304A93"/>
    <w:rsid w:val="0030526C"/>
    <w:rsid w:val="00305956"/>
    <w:rsid w:val="0031458C"/>
    <w:rsid w:val="00317057"/>
    <w:rsid w:val="00322247"/>
    <w:rsid w:val="0032246F"/>
    <w:rsid w:val="00324111"/>
    <w:rsid w:val="00330D91"/>
    <w:rsid w:val="00332DB7"/>
    <w:rsid w:val="0033402B"/>
    <w:rsid w:val="00334A48"/>
    <w:rsid w:val="00335F3C"/>
    <w:rsid w:val="00337D33"/>
    <w:rsid w:val="0034600E"/>
    <w:rsid w:val="0035054B"/>
    <w:rsid w:val="00354829"/>
    <w:rsid w:val="003573D1"/>
    <w:rsid w:val="00357441"/>
    <w:rsid w:val="00366205"/>
    <w:rsid w:val="00370D19"/>
    <w:rsid w:val="003710DA"/>
    <w:rsid w:val="00372416"/>
    <w:rsid w:val="00377BAA"/>
    <w:rsid w:val="00380B1E"/>
    <w:rsid w:val="003925A2"/>
    <w:rsid w:val="00397446"/>
    <w:rsid w:val="0039798C"/>
    <w:rsid w:val="00397CD6"/>
    <w:rsid w:val="003A202B"/>
    <w:rsid w:val="003A3F5F"/>
    <w:rsid w:val="003A49A7"/>
    <w:rsid w:val="003A540D"/>
    <w:rsid w:val="003A6092"/>
    <w:rsid w:val="003A68AE"/>
    <w:rsid w:val="003B3DDE"/>
    <w:rsid w:val="003B3E8A"/>
    <w:rsid w:val="003B5B3F"/>
    <w:rsid w:val="003C08A7"/>
    <w:rsid w:val="003C187B"/>
    <w:rsid w:val="003C2A48"/>
    <w:rsid w:val="003C3313"/>
    <w:rsid w:val="003C3EC9"/>
    <w:rsid w:val="003C438A"/>
    <w:rsid w:val="003C57B7"/>
    <w:rsid w:val="003C5B07"/>
    <w:rsid w:val="003C5CE0"/>
    <w:rsid w:val="003C677F"/>
    <w:rsid w:val="003C67C3"/>
    <w:rsid w:val="003D3C76"/>
    <w:rsid w:val="003D5476"/>
    <w:rsid w:val="003D5590"/>
    <w:rsid w:val="003E12EF"/>
    <w:rsid w:val="003E1C27"/>
    <w:rsid w:val="003E24EA"/>
    <w:rsid w:val="003E2A6E"/>
    <w:rsid w:val="003E5651"/>
    <w:rsid w:val="003E7E18"/>
    <w:rsid w:val="003F0E5A"/>
    <w:rsid w:val="003F537E"/>
    <w:rsid w:val="003F7BD3"/>
    <w:rsid w:val="004016F7"/>
    <w:rsid w:val="0040270E"/>
    <w:rsid w:val="00404C80"/>
    <w:rsid w:val="00406F9A"/>
    <w:rsid w:val="00413672"/>
    <w:rsid w:val="00413D58"/>
    <w:rsid w:val="00421596"/>
    <w:rsid w:val="0042171C"/>
    <w:rsid w:val="004223D1"/>
    <w:rsid w:val="00424CF9"/>
    <w:rsid w:val="004325ED"/>
    <w:rsid w:val="00432935"/>
    <w:rsid w:val="00434A3D"/>
    <w:rsid w:val="004365AD"/>
    <w:rsid w:val="00437D77"/>
    <w:rsid w:val="00441F7C"/>
    <w:rsid w:val="00443D17"/>
    <w:rsid w:val="00444445"/>
    <w:rsid w:val="00444547"/>
    <w:rsid w:val="00445374"/>
    <w:rsid w:val="00445AB5"/>
    <w:rsid w:val="00446117"/>
    <w:rsid w:val="0044723B"/>
    <w:rsid w:val="00447574"/>
    <w:rsid w:val="004534DF"/>
    <w:rsid w:val="00453C6F"/>
    <w:rsid w:val="00454DA3"/>
    <w:rsid w:val="00455E77"/>
    <w:rsid w:val="004601A5"/>
    <w:rsid w:val="00462F71"/>
    <w:rsid w:val="0046402D"/>
    <w:rsid w:val="004652F1"/>
    <w:rsid w:val="004654EB"/>
    <w:rsid w:val="00466094"/>
    <w:rsid w:val="00466BCD"/>
    <w:rsid w:val="00470393"/>
    <w:rsid w:val="00470436"/>
    <w:rsid w:val="00472747"/>
    <w:rsid w:val="0047553B"/>
    <w:rsid w:val="00481C20"/>
    <w:rsid w:val="004850AF"/>
    <w:rsid w:val="00486AC5"/>
    <w:rsid w:val="004903F1"/>
    <w:rsid w:val="004909BD"/>
    <w:rsid w:val="00495782"/>
    <w:rsid w:val="00496A8E"/>
    <w:rsid w:val="004A0CC6"/>
    <w:rsid w:val="004A139A"/>
    <w:rsid w:val="004A1442"/>
    <w:rsid w:val="004A2BDB"/>
    <w:rsid w:val="004A5220"/>
    <w:rsid w:val="004A5EA1"/>
    <w:rsid w:val="004B12EA"/>
    <w:rsid w:val="004B2982"/>
    <w:rsid w:val="004B2ED0"/>
    <w:rsid w:val="004B45C7"/>
    <w:rsid w:val="004B5D11"/>
    <w:rsid w:val="004B73DB"/>
    <w:rsid w:val="004B7AF3"/>
    <w:rsid w:val="004C0BB6"/>
    <w:rsid w:val="004C4581"/>
    <w:rsid w:val="004D36FE"/>
    <w:rsid w:val="004D39A1"/>
    <w:rsid w:val="004D62ED"/>
    <w:rsid w:val="004D691B"/>
    <w:rsid w:val="004D6B58"/>
    <w:rsid w:val="004E4ED2"/>
    <w:rsid w:val="004E5784"/>
    <w:rsid w:val="004E6CFF"/>
    <w:rsid w:val="004E6D42"/>
    <w:rsid w:val="004F54E7"/>
    <w:rsid w:val="0050079A"/>
    <w:rsid w:val="00501828"/>
    <w:rsid w:val="0050657E"/>
    <w:rsid w:val="005111D8"/>
    <w:rsid w:val="0051198D"/>
    <w:rsid w:val="005161DA"/>
    <w:rsid w:val="00517695"/>
    <w:rsid w:val="0052179B"/>
    <w:rsid w:val="005223CF"/>
    <w:rsid w:val="0052526B"/>
    <w:rsid w:val="00525C9A"/>
    <w:rsid w:val="00526065"/>
    <w:rsid w:val="00527EA2"/>
    <w:rsid w:val="00532240"/>
    <w:rsid w:val="00533B63"/>
    <w:rsid w:val="005340CF"/>
    <w:rsid w:val="0053573B"/>
    <w:rsid w:val="00535845"/>
    <w:rsid w:val="005370F1"/>
    <w:rsid w:val="005515B3"/>
    <w:rsid w:val="00553922"/>
    <w:rsid w:val="005550B2"/>
    <w:rsid w:val="0055609C"/>
    <w:rsid w:val="00556D74"/>
    <w:rsid w:val="00557565"/>
    <w:rsid w:val="0056163E"/>
    <w:rsid w:val="00565291"/>
    <w:rsid w:val="005660C4"/>
    <w:rsid w:val="0056741A"/>
    <w:rsid w:val="005709A1"/>
    <w:rsid w:val="005727D5"/>
    <w:rsid w:val="005734FA"/>
    <w:rsid w:val="00573A9E"/>
    <w:rsid w:val="00573D22"/>
    <w:rsid w:val="0057698A"/>
    <w:rsid w:val="00582CD2"/>
    <w:rsid w:val="00584441"/>
    <w:rsid w:val="0058459D"/>
    <w:rsid w:val="005866B8"/>
    <w:rsid w:val="00587546"/>
    <w:rsid w:val="005A23F6"/>
    <w:rsid w:val="005A79B6"/>
    <w:rsid w:val="005B1D1B"/>
    <w:rsid w:val="005B3E48"/>
    <w:rsid w:val="005B5F23"/>
    <w:rsid w:val="005B64B3"/>
    <w:rsid w:val="005C48B1"/>
    <w:rsid w:val="005C56DE"/>
    <w:rsid w:val="005C660F"/>
    <w:rsid w:val="005D070B"/>
    <w:rsid w:val="005D0777"/>
    <w:rsid w:val="005D4900"/>
    <w:rsid w:val="005D5339"/>
    <w:rsid w:val="005D5B05"/>
    <w:rsid w:val="005E08FE"/>
    <w:rsid w:val="005E36A7"/>
    <w:rsid w:val="005E631B"/>
    <w:rsid w:val="005E6790"/>
    <w:rsid w:val="005F0C6A"/>
    <w:rsid w:val="005F297F"/>
    <w:rsid w:val="005F2BE1"/>
    <w:rsid w:val="005F3F14"/>
    <w:rsid w:val="005F4123"/>
    <w:rsid w:val="005F4BFB"/>
    <w:rsid w:val="005F7C70"/>
    <w:rsid w:val="00600CD3"/>
    <w:rsid w:val="00600FD3"/>
    <w:rsid w:val="006030AD"/>
    <w:rsid w:val="00604D5B"/>
    <w:rsid w:val="00605403"/>
    <w:rsid w:val="00610C20"/>
    <w:rsid w:val="00610E1E"/>
    <w:rsid w:val="00611A92"/>
    <w:rsid w:val="00611D25"/>
    <w:rsid w:val="00617E35"/>
    <w:rsid w:val="00620AD7"/>
    <w:rsid w:val="00623256"/>
    <w:rsid w:val="0062541E"/>
    <w:rsid w:val="00625AD2"/>
    <w:rsid w:val="00636206"/>
    <w:rsid w:val="006365A8"/>
    <w:rsid w:val="006403F0"/>
    <w:rsid w:val="00642BF5"/>
    <w:rsid w:val="00642C8B"/>
    <w:rsid w:val="00642F38"/>
    <w:rsid w:val="006435CF"/>
    <w:rsid w:val="00646BBE"/>
    <w:rsid w:val="00650665"/>
    <w:rsid w:val="00651A8D"/>
    <w:rsid w:val="006532D5"/>
    <w:rsid w:val="00665647"/>
    <w:rsid w:val="00671716"/>
    <w:rsid w:val="0067487F"/>
    <w:rsid w:val="00674D33"/>
    <w:rsid w:val="006774F4"/>
    <w:rsid w:val="00677B56"/>
    <w:rsid w:val="00681932"/>
    <w:rsid w:val="00682429"/>
    <w:rsid w:val="00682AB6"/>
    <w:rsid w:val="006908A8"/>
    <w:rsid w:val="006920B1"/>
    <w:rsid w:val="00692A28"/>
    <w:rsid w:val="00695907"/>
    <w:rsid w:val="006961E3"/>
    <w:rsid w:val="00697A20"/>
    <w:rsid w:val="006A0162"/>
    <w:rsid w:val="006A05A0"/>
    <w:rsid w:val="006A09F6"/>
    <w:rsid w:val="006A1061"/>
    <w:rsid w:val="006A70E8"/>
    <w:rsid w:val="006B2698"/>
    <w:rsid w:val="006B3F04"/>
    <w:rsid w:val="006B47F2"/>
    <w:rsid w:val="006B5368"/>
    <w:rsid w:val="006B70FE"/>
    <w:rsid w:val="006D073D"/>
    <w:rsid w:val="006D1AF2"/>
    <w:rsid w:val="006D2DE5"/>
    <w:rsid w:val="006D2EBA"/>
    <w:rsid w:val="006D695F"/>
    <w:rsid w:val="006E1841"/>
    <w:rsid w:val="006E347D"/>
    <w:rsid w:val="006E6264"/>
    <w:rsid w:val="006E6FA6"/>
    <w:rsid w:val="006F4EB0"/>
    <w:rsid w:val="007006F4"/>
    <w:rsid w:val="0070373F"/>
    <w:rsid w:val="00704C3B"/>
    <w:rsid w:val="0071131A"/>
    <w:rsid w:val="007167E4"/>
    <w:rsid w:val="0072128C"/>
    <w:rsid w:val="00727522"/>
    <w:rsid w:val="00730111"/>
    <w:rsid w:val="007308DB"/>
    <w:rsid w:val="00731833"/>
    <w:rsid w:val="00731FDC"/>
    <w:rsid w:val="00733179"/>
    <w:rsid w:val="00734170"/>
    <w:rsid w:val="00740965"/>
    <w:rsid w:val="00740E15"/>
    <w:rsid w:val="00741462"/>
    <w:rsid w:val="00741795"/>
    <w:rsid w:val="00743972"/>
    <w:rsid w:val="00743CDE"/>
    <w:rsid w:val="00743FD4"/>
    <w:rsid w:val="007456DB"/>
    <w:rsid w:val="007513F2"/>
    <w:rsid w:val="0075368A"/>
    <w:rsid w:val="007544BD"/>
    <w:rsid w:val="007556C8"/>
    <w:rsid w:val="00755B12"/>
    <w:rsid w:val="00762A28"/>
    <w:rsid w:val="00763CEC"/>
    <w:rsid w:val="00764A77"/>
    <w:rsid w:val="0076773D"/>
    <w:rsid w:val="007700CA"/>
    <w:rsid w:val="00771A55"/>
    <w:rsid w:val="00773C5E"/>
    <w:rsid w:val="00774014"/>
    <w:rsid w:val="00774C11"/>
    <w:rsid w:val="00774D3C"/>
    <w:rsid w:val="007772EA"/>
    <w:rsid w:val="007834BF"/>
    <w:rsid w:val="00783D95"/>
    <w:rsid w:val="0078694D"/>
    <w:rsid w:val="007926DC"/>
    <w:rsid w:val="00792F44"/>
    <w:rsid w:val="00793E53"/>
    <w:rsid w:val="0079783E"/>
    <w:rsid w:val="007A59CA"/>
    <w:rsid w:val="007A5AF3"/>
    <w:rsid w:val="007A6565"/>
    <w:rsid w:val="007B0644"/>
    <w:rsid w:val="007B53B9"/>
    <w:rsid w:val="007B6DB7"/>
    <w:rsid w:val="007C1D9B"/>
    <w:rsid w:val="007C4FE7"/>
    <w:rsid w:val="007D42F1"/>
    <w:rsid w:val="007D594A"/>
    <w:rsid w:val="007D634B"/>
    <w:rsid w:val="007D73AD"/>
    <w:rsid w:val="007E257D"/>
    <w:rsid w:val="007E6484"/>
    <w:rsid w:val="007F4E23"/>
    <w:rsid w:val="007F4EC1"/>
    <w:rsid w:val="007F5608"/>
    <w:rsid w:val="007F7A1F"/>
    <w:rsid w:val="007F7BB3"/>
    <w:rsid w:val="0080075D"/>
    <w:rsid w:val="00803D2C"/>
    <w:rsid w:val="00805065"/>
    <w:rsid w:val="00807907"/>
    <w:rsid w:val="00810725"/>
    <w:rsid w:val="00811805"/>
    <w:rsid w:val="00811ECD"/>
    <w:rsid w:val="00813362"/>
    <w:rsid w:val="008141CF"/>
    <w:rsid w:val="008159C3"/>
    <w:rsid w:val="00817746"/>
    <w:rsid w:val="008201E8"/>
    <w:rsid w:val="00825D8E"/>
    <w:rsid w:val="008271EE"/>
    <w:rsid w:val="00830879"/>
    <w:rsid w:val="00830D73"/>
    <w:rsid w:val="0083527C"/>
    <w:rsid w:val="00836413"/>
    <w:rsid w:val="0083662C"/>
    <w:rsid w:val="008369B2"/>
    <w:rsid w:val="008373C6"/>
    <w:rsid w:val="00837C2C"/>
    <w:rsid w:val="00841183"/>
    <w:rsid w:val="008413B7"/>
    <w:rsid w:val="00842DC1"/>
    <w:rsid w:val="00842F11"/>
    <w:rsid w:val="008459DD"/>
    <w:rsid w:val="0084630E"/>
    <w:rsid w:val="008463D6"/>
    <w:rsid w:val="00852C7D"/>
    <w:rsid w:val="00856596"/>
    <w:rsid w:val="008570F8"/>
    <w:rsid w:val="008609F3"/>
    <w:rsid w:val="00866F60"/>
    <w:rsid w:val="00870C82"/>
    <w:rsid w:val="00871D50"/>
    <w:rsid w:val="0087298A"/>
    <w:rsid w:val="008735AB"/>
    <w:rsid w:val="00876DE1"/>
    <w:rsid w:val="008771C7"/>
    <w:rsid w:val="00880684"/>
    <w:rsid w:val="00881D1D"/>
    <w:rsid w:val="0088387D"/>
    <w:rsid w:val="00884211"/>
    <w:rsid w:val="008862E1"/>
    <w:rsid w:val="008866D1"/>
    <w:rsid w:val="008877AD"/>
    <w:rsid w:val="00887FB1"/>
    <w:rsid w:val="00892D13"/>
    <w:rsid w:val="0089361D"/>
    <w:rsid w:val="00893D58"/>
    <w:rsid w:val="00894975"/>
    <w:rsid w:val="00895E0B"/>
    <w:rsid w:val="00896CF9"/>
    <w:rsid w:val="00896FAF"/>
    <w:rsid w:val="008A0016"/>
    <w:rsid w:val="008A0A34"/>
    <w:rsid w:val="008A0AC4"/>
    <w:rsid w:val="008A1048"/>
    <w:rsid w:val="008A2A1E"/>
    <w:rsid w:val="008A324F"/>
    <w:rsid w:val="008A694A"/>
    <w:rsid w:val="008A7DAC"/>
    <w:rsid w:val="008B0E8F"/>
    <w:rsid w:val="008B230F"/>
    <w:rsid w:val="008B67FB"/>
    <w:rsid w:val="008C02A0"/>
    <w:rsid w:val="008C18ED"/>
    <w:rsid w:val="008C2AEA"/>
    <w:rsid w:val="008C641C"/>
    <w:rsid w:val="008D36D4"/>
    <w:rsid w:val="008D4626"/>
    <w:rsid w:val="008D7A02"/>
    <w:rsid w:val="008D7F76"/>
    <w:rsid w:val="008E2885"/>
    <w:rsid w:val="008E60DC"/>
    <w:rsid w:val="008E7F36"/>
    <w:rsid w:val="008F1B25"/>
    <w:rsid w:val="008F28AB"/>
    <w:rsid w:val="008F2A4D"/>
    <w:rsid w:val="008F3A68"/>
    <w:rsid w:val="009029D2"/>
    <w:rsid w:val="00903AE9"/>
    <w:rsid w:val="00904BBB"/>
    <w:rsid w:val="0090500A"/>
    <w:rsid w:val="009133EC"/>
    <w:rsid w:val="00913EDD"/>
    <w:rsid w:val="00914705"/>
    <w:rsid w:val="00915CF3"/>
    <w:rsid w:val="00916AE3"/>
    <w:rsid w:val="00922E32"/>
    <w:rsid w:val="009241AF"/>
    <w:rsid w:val="009264BA"/>
    <w:rsid w:val="00926948"/>
    <w:rsid w:val="00930DAD"/>
    <w:rsid w:val="009311A2"/>
    <w:rsid w:val="00931306"/>
    <w:rsid w:val="009321FD"/>
    <w:rsid w:val="00934ACF"/>
    <w:rsid w:val="00935286"/>
    <w:rsid w:val="00942BD5"/>
    <w:rsid w:val="00945656"/>
    <w:rsid w:val="0094792C"/>
    <w:rsid w:val="00953CC4"/>
    <w:rsid w:val="00956ADF"/>
    <w:rsid w:val="00957E91"/>
    <w:rsid w:val="009661A1"/>
    <w:rsid w:val="00966A5E"/>
    <w:rsid w:val="00967C8D"/>
    <w:rsid w:val="009712CB"/>
    <w:rsid w:val="00974683"/>
    <w:rsid w:val="00980838"/>
    <w:rsid w:val="009826AA"/>
    <w:rsid w:val="00982975"/>
    <w:rsid w:val="009845D9"/>
    <w:rsid w:val="009857F2"/>
    <w:rsid w:val="00985B50"/>
    <w:rsid w:val="00985DA9"/>
    <w:rsid w:val="00986227"/>
    <w:rsid w:val="0098793D"/>
    <w:rsid w:val="00991ADB"/>
    <w:rsid w:val="00993026"/>
    <w:rsid w:val="009942D9"/>
    <w:rsid w:val="00995C5A"/>
    <w:rsid w:val="009960BD"/>
    <w:rsid w:val="009A7D3C"/>
    <w:rsid w:val="009B3D8D"/>
    <w:rsid w:val="009B4857"/>
    <w:rsid w:val="009B4B06"/>
    <w:rsid w:val="009B5F81"/>
    <w:rsid w:val="009B67D2"/>
    <w:rsid w:val="009C2132"/>
    <w:rsid w:val="009C59E0"/>
    <w:rsid w:val="009D0D77"/>
    <w:rsid w:val="009D2BC8"/>
    <w:rsid w:val="009D675F"/>
    <w:rsid w:val="009D6CA8"/>
    <w:rsid w:val="009E3464"/>
    <w:rsid w:val="009F0284"/>
    <w:rsid w:val="009F133D"/>
    <w:rsid w:val="009F2CDF"/>
    <w:rsid w:val="009F3201"/>
    <w:rsid w:val="009F52B0"/>
    <w:rsid w:val="009F5AC7"/>
    <w:rsid w:val="00A0372C"/>
    <w:rsid w:val="00A078DD"/>
    <w:rsid w:val="00A10497"/>
    <w:rsid w:val="00A1328F"/>
    <w:rsid w:val="00A1331E"/>
    <w:rsid w:val="00A15522"/>
    <w:rsid w:val="00A1619D"/>
    <w:rsid w:val="00A23861"/>
    <w:rsid w:val="00A26C36"/>
    <w:rsid w:val="00A35B55"/>
    <w:rsid w:val="00A416B4"/>
    <w:rsid w:val="00A45DAA"/>
    <w:rsid w:val="00A50891"/>
    <w:rsid w:val="00A51955"/>
    <w:rsid w:val="00A52B64"/>
    <w:rsid w:val="00A52F28"/>
    <w:rsid w:val="00A54240"/>
    <w:rsid w:val="00A54B2B"/>
    <w:rsid w:val="00A55EE0"/>
    <w:rsid w:val="00A57DC9"/>
    <w:rsid w:val="00A615EF"/>
    <w:rsid w:val="00A628E7"/>
    <w:rsid w:val="00A62A5C"/>
    <w:rsid w:val="00A63101"/>
    <w:rsid w:val="00A63D60"/>
    <w:rsid w:val="00A642DB"/>
    <w:rsid w:val="00A656E1"/>
    <w:rsid w:val="00A67F44"/>
    <w:rsid w:val="00A71D09"/>
    <w:rsid w:val="00A74477"/>
    <w:rsid w:val="00A7613C"/>
    <w:rsid w:val="00A7748A"/>
    <w:rsid w:val="00A80FE6"/>
    <w:rsid w:val="00A810F8"/>
    <w:rsid w:val="00A85F94"/>
    <w:rsid w:val="00A90780"/>
    <w:rsid w:val="00A928AB"/>
    <w:rsid w:val="00A935CA"/>
    <w:rsid w:val="00A965B4"/>
    <w:rsid w:val="00A96B2C"/>
    <w:rsid w:val="00A971F2"/>
    <w:rsid w:val="00AA367E"/>
    <w:rsid w:val="00AA3A27"/>
    <w:rsid w:val="00AA760A"/>
    <w:rsid w:val="00AB074C"/>
    <w:rsid w:val="00AB34F7"/>
    <w:rsid w:val="00AB6EC5"/>
    <w:rsid w:val="00AC0478"/>
    <w:rsid w:val="00AC145F"/>
    <w:rsid w:val="00AC4E17"/>
    <w:rsid w:val="00AD2090"/>
    <w:rsid w:val="00AD5CA2"/>
    <w:rsid w:val="00AD61D9"/>
    <w:rsid w:val="00AD7C69"/>
    <w:rsid w:val="00AE0454"/>
    <w:rsid w:val="00AE3970"/>
    <w:rsid w:val="00AE52A0"/>
    <w:rsid w:val="00AE7026"/>
    <w:rsid w:val="00AF00BC"/>
    <w:rsid w:val="00AF1AEC"/>
    <w:rsid w:val="00AF7776"/>
    <w:rsid w:val="00B0511F"/>
    <w:rsid w:val="00B13EA7"/>
    <w:rsid w:val="00B151FC"/>
    <w:rsid w:val="00B155A1"/>
    <w:rsid w:val="00B170A8"/>
    <w:rsid w:val="00B176EF"/>
    <w:rsid w:val="00B2105B"/>
    <w:rsid w:val="00B231E6"/>
    <w:rsid w:val="00B2383E"/>
    <w:rsid w:val="00B25298"/>
    <w:rsid w:val="00B2779A"/>
    <w:rsid w:val="00B31AD7"/>
    <w:rsid w:val="00B3331A"/>
    <w:rsid w:val="00B336CB"/>
    <w:rsid w:val="00B33867"/>
    <w:rsid w:val="00B35537"/>
    <w:rsid w:val="00B35C27"/>
    <w:rsid w:val="00B44CFD"/>
    <w:rsid w:val="00B45465"/>
    <w:rsid w:val="00B45698"/>
    <w:rsid w:val="00B478F5"/>
    <w:rsid w:val="00B5013F"/>
    <w:rsid w:val="00B50DB1"/>
    <w:rsid w:val="00B52E89"/>
    <w:rsid w:val="00B54032"/>
    <w:rsid w:val="00B55FAB"/>
    <w:rsid w:val="00B61264"/>
    <w:rsid w:val="00B637CF"/>
    <w:rsid w:val="00B63DD4"/>
    <w:rsid w:val="00B64AD2"/>
    <w:rsid w:val="00B671C8"/>
    <w:rsid w:val="00B67201"/>
    <w:rsid w:val="00B7009E"/>
    <w:rsid w:val="00B73154"/>
    <w:rsid w:val="00B7435A"/>
    <w:rsid w:val="00B74A73"/>
    <w:rsid w:val="00B75EFE"/>
    <w:rsid w:val="00B76282"/>
    <w:rsid w:val="00B76D90"/>
    <w:rsid w:val="00B828D4"/>
    <w:rsid w:val="00B853D1"/>
    <w:rsid w:val="00B86368"/>
    <w:rsid w:val="00B92FAE"/>
    <w:rsid w:val="00B93926"/>
    <w:rsid w:val="00B93B9E"/>
    <w:rsid w:val="00B93FF2"/>
    <w:rsid w:val="00B952A9"/>
    <w:rsid w:val="00B96268"/>
    <w:rsid w:val="00B97651"/>
    <w:rsid w:val="00BA1A9A"/>
    <w:rsid w:val="00BA2820"/>
    <w:rsid w:val="00BA2B99"/>
    <w:rsid w:val="00BA3312"/>
    <w:rsid w:val="00BA382D"/>
    <w:rsid w:val="00BA6540"/>
    <w:rsid w:val="00BA71FD"/>
    <w:rsid w:val="00BA7D40"/>
    <w:rsid w:val="00BB06D0"/>
    <w:rsid w:val="00BB2A20"/>
    <w:rsid w:val="00BB354F"/>
    <w:rsid w:val="00BC1CEA"/>
    <w:rsid w:val="00BC3258"/>
    <w:rsid w:val="00BC5469"/>
    <w:rsid w:val="00BC5AD0"/>
    <w:rsid w:val="00BC664D"/>
    <w:rsid w:val="00BC6798"/>
    <w:rsid w:val="00BC68D4"/>
    <w:rsid w:val="00BD2064"/>
    <w:rsid w:val="00BD2DFE"/>
    <w:rsid w:val="00BD3C16"/>
    <w:rsid w:val="00BD5139"/>
    <w:rsid w:val="00BD528C"/>
    <w:rsid w:val="00BD6E67"/>
    <w:rsid w:val="00BE11DE"/>
    <w:rsid w:val="00BE243D"/>
    <w:rsid w:val="00BE4A54"/>
    <w:rsid w:val="00BE77AD"/>
    <w:rsid w:val="00BE797E"/>
    <w:rsid w:val="00BF04A9"/>
    <w:rsid w:val="00BF2B99"/>
    <w:rsid w:val="00BF5904"/>
    <w:rsid w:val="00BF6196"/>
    <w:rsid w:val="00BF658C"/>
    <w:rsid w:val="00C020A8"/>
    <w:rsid w:val="00C02163"/>
    <w:rsid w:val="00C0245F"/>
    <w:rsid w:val="00C02D28"/>
    <w:rsid w:val="00C0798D"/>
    <w:rsid w:val="00C10083"/>
    <w:rsid w:val="00C16771"/>
    <w:rsid w:val="00C17820"/>
    <w:rsid w:val="00C219B1"/>
    <w:rsid w:val="00C21B40"/>
    <w:rsid w:val="00C23119"/>
    <w:rsid w:val="00C25489"/>
    <w:rsid w:val="00C25AD9"/>
    <w:rsid w:val="00C26900"/>
    <w:rsid w:val="00C27928"/>
    <w:rsid w:val="00C32032"/>
    <w:rsid w:val="00C328E3"/>
    <w:rsid w:val="00C32D25"/>
    <w:rsid w:val="00C42E90"/>
    <w:rsid w:val="00C4552A"/>
    <w:rsid w:val="00C46774"/>
    <w:rsid w:val="00C46B00"/>
    <w:rsid w:val="00C513E1"/>
    <w:rsid w:val="00C53BF0"/>
    <w:rsid w:val="00C56344"/>
    <w:rsid w:val="00C61B51"/>
    <w:rsid w:val="00C61DB0"/>
    <w:rsid w:val="00C6290F"/>
    <w:rsid w:val="00C67065"/>
    <w:rsid w:val="00C70FEE"/>
    <w:rsid w:val="00C74282"/>
    <w:rsid w:val="00C75579"/>
    <w:rsid w:val="00C80097"/>
    <w:rsid w:val="00C811C4"/>
    <w:rsid w:val="00C81ACE"/>
    <w:rsid w:val="00C81D18"/>
    <w:rsid w:val="00C83E44"/>
    <w:rsid w:val="00C85985"/>
    <w:rsid w:val="00C90488"/>
    <w:rsid w:val="00C918AA"/>
    <w:rsid w:val="00C9739C"/>
    <w:rsid w:val="00CA286C"/>
    <w:rsid w:val="00CA7D2D"/>
    <w:rsid w:val="00CB1B6F"/>
    <w:rsid w:val="00CB3394"/>
    <w:rsid w:val="00CB4336"/>
    <w:rsid w:val="00CC081E"/>
    <w:rsid w:val="00CC1438"/>
    <w:rsid w:val="00CC288C"/>
    <w:rsid w:val="00CC4D36"/>
    <w:rsid w:val="00CC6438"/>
    <w:rsid w:val="00CC6B6A"/>
    <w:rsid w:val="00CC6DD6"/>
    <w:rsid w:val="00CD30EC"/>
    <w:rsid w:val="00CD3120"/>
    <w:rsid w:val="00CD645E"/>
    <w:rsid w:val="00CD726D"/>
    <w:rsid w:val="00CE1F8B"/>
    <w:rsid w:val="00CE3BA7"/>
    <w:rsid w:val="00CE4D08"/>
    <w:rsid w:val="00CE5292"/>
    <w:rsid w:val="00CF0892"/>
    <w:rsid w:val="00CF391F"/>
    <w:rsid w:val="00CF5F2C"/>
    <w:rsid w:val="00D02181"/>
    <w:rsid w:val="00D04AEB"/>
    <w:rsid w:val="00D07246"/>
    <w:rsid w:val="00D07E3E"/>
    <w:rsid w:val="00D11F8A"/>
    <w:rsid w:val="00D13443"/>
    <w:rsid w:val="00D15993"/>
    <w:rsid w:val="00D1601E"/>
    <w:rsid w:val="00D20BB9"/>
    <w:rsid w:val="00D20DA5"/>
    <w:rsid w:val="00D220BB"/>
    <w:rsid w:val="00D24F33"/>
    <w:rsid w:val="00D25B9E"/>
    <w:rsid w:val="00D33227"/>
    <w:rsid w:val="00D34520"/>
    <w:rsid w:val="00D36265"/>
    <w:rsid w:val="00D37429"/>
    <w:rsid w:val="00D43C57"/>
    <w:rsid w:val="00D4448A"/>
    <w:rsid w:val="00D44B92"/>
    <w:rsid w:val="00D46335"/>
    <w:rsid w:val="00D50B26"/>
    <w:rsid w:val="00D51452"/>
    <w:rsid w:val="00D5526A"/>
    <w:rsid w:val="00D5746E"/>
    <w:rsid w:val="00D60155"/>
    <w:rsid w:val="00D6235A"/>
    <w:rsid w:val="00D62C14"/>
    <w:rsid w:val="00D62CFB"/>
    <w:rsid w:val="00D634AB"/>
    <w:rsid w:val="00D6411B"/>
    <w:rsid w:val="00D65F1E"/>
    <w:rsid w:val="00D7445A"/>
    <w:rsid w:val="00D77880"/>
    <w:rsid w:val="00D86FA4"/>
    <w:rsid w:val="00D87983"/>
    <w:rsid w:val="00D9131F"/>
    <w:rsid w:val="00D9375B"/>
    <w:rsid w:val="00D955FF"/>
    <w:rsid w:val="00D97E3A"/>
    <w:rsid w:val="00D97FB4"/>
    <w:rsid w:val="00DA43DD"/>
    <w:rsid w:val="00DA44B4"/>
    <w:rsid w:val="00DA4CC0"/>
    <w:rsid w:val="00DA512C"/>
    <w:rsid w:val="00DA5B5A"/>
    <w:rsid w:val="00DA5B8C"/>
    <w:rsid w:val="00DB16D7"/>
    <w:rsid w:val="00DB1978"/>
    <w:rsid w:val="00DB32E3"/>
    <w:rsid w:val="00DB38B9"/>
    <w:rsid w:val="00DB538D"/>
    <w:rsid w:val="00DB621B"/>
    <w:rsid w:val="00DB6AFB"/>
    <w:rsid w:val="00DC320D"/>
    <w:rsid w:val="00DC3A7C"/>
    <w:rsid w:val="00DC4460"/>
    <w:rsid w:val="00DC5405"/>
    <w:rsid w:val="00DD545A"/>
    <w:rsid w:val="00DD55D5"/>
    <w:rsid w:val="00DD5F75"/>
    <w:rsid w:val="00DD7391"/>
    <w:rsid w:val="00DD7B3A"/>
    <w:rsid w:val="00DE0001"/>
    <w:rsid w:val="00DE14D9"/>
    <w:rsid w:val="00DE54BA"/>
    <w:rsid w:val="00DE6FAD"/>
    <w:rsid w:val="00DF0B64"/>
    <w:rsid w:val="00E011B8"/>
    <w:rsid w:val="00E05B39"/>
    <w:rsid w:val="00E06A5C"/>
    <w:rsid w:val="00E10096"/>
    <w:rsid w:val="00E11241"/>
    <w:rsid w:val="00E113E4"/>
    <w:rsid w:val="00E16F0A"/>
    <w:rsid w:val="00E20657"/>
    <w:rsid w:val="00E20E7F"/>
    <w:rsid w:val="00E20F68"/>
    <w:rsid w:val="00E21080"/>
    <w:rsid w:val="00E211CA"/>
    <w:rsid w:val="00E23188"/>
    <w:rsid w:val="00E24A13"/>
    <w:rsid w:val="00E24B10"/>
    <w:rsid w:val="00E2653C"/>
    <w:rsid w:val="00E26696"/>
    <w:rsid w:val="00E303A0"/>
    <w:rsid w:val="00E304BB"/>
    <w:rsid w:val="00E3123C"/>
    <w:rsid w:val="00E358DF"/>
    <w:rsid w:val="00E35FB7"/>
    <w:rsid w:val="00E421CB"/>
    <w:rsid w:val="00E439C3"/>
    <w:rsid w:val="00E44961"/>
    <w:rsid w:val="00E453BE"/>
    <w:rsid w:val="00E474A1"/>
    <w:rsid w:val="00E47866"/>
    <w:rsid w:val="00E50D4F"/>
    <w:rsid w:val="00E53217"/>
    <w:rsid w:val="00E57889"/>
    <w:rsid w:val="00E65211"/>
    <w:rsid w:val="00E702F3"/>
    <w:rsid w:val="00E71997"/>
    <w:rsid w:val="00E73B14"/>
    <w:rsid w:val="00E75FCA"/>
    <w:rsid w:val="00E766F8"/>
    <w:rsid w:val="00E8099E"/>
    <w:rsid w:val="00E81922"/>
    <w:rsid w:val="00E82560"/>
    <w:rsid w:val="00E8317C"/>
    <w:rsid w:val="00E832F1"/>
    <w:rsid w:val="00E83B4D"/>
    <w:rsid w:val="00E84116"/>
    <w:rsid w:val="00E84988"/>
    <w:rsid w:val="00E86597"/>
    <w:rsid w:val="00E90A6F"/>
    <w:rsid w:val="00E938AA"/>
    <w:rsid w:val="00E94D78"/>
    <w:rsid w:val="00E9547E"/>
    <w:rsid w:val="00EA1A33"/>
    <w:rsid w:val="00EA2603"/>
    <w:rsid w:val="00EA315D"/>
    <w:rsid w:val="00EA41A5"/>
    <w:rsid w:val="00EB1C1F"/>
    <w:rsid w:val="00EB4CB8"/>
    <w:rsid w:val="00EB53BD"/>
    <w:rsid w:val="00EB7A8F"/>
    <w:rsid w:val="00EC1DCA"/>
    <w:rsid w:val="00ED0DDA"/>
    <w:rsid w:val="00ED1958"/>
    <w:rsid w:val="00ED3FB3"/>
    <w:rsid w:val="00ED4768"/>
    <w:rsid w:val="00ED5A6D"/>
    <w:rsid w:val="00EE3152"/>
    <w:rsid w:val="00EE5318"/>
    <w:rsid w:val="00EE6602"/>
    <w:rsid w:val="00EF00C2"/>
    <w:rsid w:val="00EF3C8D"/>
    <w:rsid w:val="00EF51A7"/>
    <w:rsid w:val="00EF6B96"/>
    <w:rsid w:val="00EF733D"/>
    <w:rsid w:val="00F02D18"/>
    <w:rsid w:val="00F051BC"/>
    <w:rsid w:val="00F067D2"/>
    <w:rsid w:val="00F11735"/>
    <w:rsid w:val="00F1186D"/>
    <w:rsid w:val="00F1382A"/>
    <w:rsid w:val="00F163A3"/>
    <w:rsid w:val="00F226E3"/>
    <w:rsid w:val="00F25978"/>
    <w:rsid w:val="00F267A1"/>
    <w:rsid w:val="00F27B49"/>
    <w:rsid w:val="00F309CD"/>
    <w:rsid w:val="00F3156F"/>
    <w:rsid w:val="00F31E64"/>
    <w:rsid w:val="00F334B2"/>
    <w:rsid w:val="00F33616"/>
    <w:rsid w:val="00F342E0"/>
    <w:rsid w:val="00F34CCE"/>
    <w:rsid w:val="00F3587C"/>
    <w:rsid w:val="00F35BDE"/>
    <w:rsid w:val="00F367DF"/>
    <w:rsid w:val="00F42875"/>
    <w:rsid w:val="00F44A92"/>
    <w:rsid w:val="00F44ED6"/>
    <w:rsid w:val="00F51DD7"/>
    <w:rsid w:val="00F5334E"/>
    <w:rsid w:val="00F5379F"/>
    <w:rsid w:val="00F55AF4"/>
    <w:rsid w:val="00F566B9"/>
    <w:rsid w:val="00F60BDA"/>
    <w:rsid w:val="00F658A3"/>
    <w:rsid w:val="00F715FA"/>
    <w:rsid w:val="00F72B44"/>
    <w:rsid w:val="00F735F0"/>
    <w:rsid w:val="00F73DC3"/>
    <w:rsid w:val="00F74A1D"/>
    <w:rsid w:val="00F760E2"/>
    <w:rsid w:val="00F808B0"/>
    <w:rsid w:val="00F8146C"/>
    <w:rsid w:val="00F87425"/>
    <w:rsid w:val="00F87ADD"/>
    <w:rsid w:val="00F87D0C"/>
    <w:rsid w:val="00F912BD"/>
    <w:rsid w:val="00F93F55"/>
    <w:rsid w:val="00F979AA"/>
    <w:rsid w:val="00FA0126"/>
    <w:rsid w:val="00FA1069"/>
    <w:rsid w:val="00FB0BB8"/>
    <w:rsid w:val="00FB3520"/>
    <w:rsid w:val="00FB353C"/>
    <w:rsid w:val="00FB3542"/>
    <w:rsid w:val="00FB74F8"/>
    <w:rsid w:val="00FC0A23"/>
    <w:rsid w:val="00FC4B0B"/>
    <w:rsid w:val="00FC6C0A"/>
    <w:rsid w:val="00FC6E3B"/>
    <w:rsid w:val="00FD77EE"/>
    <w:rsid w:val="00FD7F88"/>
    <w:rsid w:val="00FE070A"/>
    <w:rsid w:val="00FE7D42"/>
    <w:rsid w:val="00FF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7D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47D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47D7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87A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8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7AD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D514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51452"/>
    <w:rPr>
      <w:rFonts w:cs="Times New Roman"/>
      <w:sz w:val="16"/>
      <w:szCs w:val="16"/>
    </w:rPr>
  </w:style>
  <w:style w:type="character" w:styleId="a8">
    <w:name w:val="Strong"/>
    <w:basedOn w:val="a0"/>
    <w:uiPriority w:val="22"/>
    <w:qFormat/>
    <w:rsid w:val="00D51452"/>
    <w:rPr>
      <w:rFonts w:cs="Times New Roman"/>
      <w:b/>
    </w:rPr>
  </w:style>
  <w:style w:type="character" w:styleId="a9">
    <w:name w:val="Emphasis"/>
    <w:basedOn w:val="a0"/>
    <w:qFormat/>
    <w:locked/>
    <w:rsid w:val="005252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54;&#1090;&#1095;&#1077;&#1090;&#1099;\&#1054;&#1090;&#1095;&#1077;&#1090;%20&#1075;&#1083;&#1072;&#1074;&#1099;\&#1086;&#1090;&#1095;&#1077;&#1090;%20&#1075;&#1083;&#1072;&#1074;&#1099;%20&#1090;&#1072;&#1073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54;&#1090;&#1095;&#1077;&#1090;&#1099;\&#1054;&#1090;&#1095;&#1077;&#1090;%20&#1075;&#1083;&#1072;&#1074;&#1099;\&#1086;&#1090;&#1095;&#1077;&#1090;%20&#1075;&#1083;&#1072;&#1074;&#1099;%20&#1090;&#1072;&#1073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Лист3!$B$1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Лист3!$B$2:$B$12</c:f>
              <c:numCache>
                <c:formatCode>#,##0.00\ _₽</c:formatCode>
                <c:ptCount val="11"/>
                <c:pt idx="1">
                  <c:v>485324.44</c:v>
                </c:pt>
                <c:pt idx="2">
                  <c:v>21580</c:v>
                </c:pt>
                <c:pt idx="3">
                  <c:v>218107.69</c:v>
                </c:pt>
                <c:pt idx="4">
                  <c:v>385267.4</c:v>
                </c:pt>
                <c:pt idx="5">
                  <c:v>168148.18</c:v>
                </c:pt>
                <c:pt idx="6">
                  <c:v>6101392.7800000003</c:v>
                </c:pt>
                <c:pt idx="7">
                  <c:v>931360.06</c:v>
                </c:pt>
                <c:pt idx="8">
                  <c:v>17039257.75</c:v>
                </c:pt>
                <c:pt idx="9">
                  <c:v>35570432</c:v>
                </c:pt>
                <c:pt idx="10">
                  <c:v>4128096.68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Лист3!$C$2:$C$12</c:f>
              <c:numCache>
                <c:formatCode>#,##0.00\ _₽</c:formatCode>
                <c:ptCount val="11"/>
                <c:pt idx="1">
                  <c:v>529585.87</c:v>
                </c:pt>
                <c:pt idx="2">
                  <c:v>16200</c:v>
                </c:pt>
                <c:pt idx="3">
                  <c:v>381736.13</c:v>
                </c:pt>
                <c:pt idx="4">
                  <c:v>349392.74</c:v>
                </c:pt>
                <c:pt idx="5">
                  <c:v>167966.53</c:v>
                </c:pt>
                <c:pt idx="6">
                  <c:v>6689273.0800000001</c:v>
                </c:pt>
                <c:pt idx="7">
                  <c:v>612659.25</c:v>
                </c:pt>
                <c:pt idx="8">
                  <c:v>11306795.09</c:v>
                </c:pt>
                <c:pt idx="9">
                  <c:v>36337939.260000013</c:v>
                </c:pt>
                <c:pt idx="10">
                  <c:v>3877332.9099999997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Лист3!$D$2:$D$12</c:f>
              <c:numCache>
                <c:formatCode>0.00</c:formatCode>
                <c:ptCount val="11"/>
                <c:pt idx="0">
                  <c:v>0</c:v>
                </c:pt>
                <c:pt idx="1">
                  <c:v>0.74609092585469994</c:v>
                </c:pt>
                <c:pt idx="2">
                  <c:v>3.317500800071891E-2</c:v>
                </c:pt>
                <c:pt idx="3">
                  <c:v>0.3352976997575684</c:v>
                </c:pt>
                <c:pt idx="4">
                  <c:v>0.59227289515366832</c:v>
                </c:pt>
                <c:pt idx="5">
                  <c:v>0.25849477371669732</c:v>
                </c:pt>
                <c:pt idx="6">
                  <c:v>9.3796920431894755</c:v>
                </c:pt>
                <c:pt idx="7">
                  <c:v>1.4317830139967582</c:v>
                </c:pt>
                <c:pt idx="8">
                  <c:v>26.194509368978764</c:v>
                </c:pt>
                <c:pt idx="9">
                  <c:v>54.682547089389594</c:v>
                </c:pt>
                <c:pt idx="10">
                  <c:v>6.3461371819620584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Лист3!$E$2:$E$12</c:f>
              <c:numCache>
                <c:formatCode>0.00</c:formatCode>
                <c:ptCount val="11"/>
                <c:pt idx="0">
                  <c:v>0</c:v>
                </c:pt>
                <c:pt idx="1">
                  <c:v>0.87870533257484595</c:v>
                </c:pt>
                <c:pt idx="2">
                  <c:v>2.6879543420810139E-2</c:v>
                </c:pt>
                <c:pt idx="3">
                  <c:v>0.63338844948314865</c:v>
                </c:pt>
                <c:pt idx="4">
                  <c:v>0.57972329171270442</c:v>
                </c:pt>
                <c:pt idx="5">
                  <c:v>0.27869528619616035</c:v>
                </c:pt>
                <c:pt idx="6">
                  <c:v>11.099049765896053</c:v>
                </c:pt>
                <c:pt idx="7">
                  <c:v>1.0165432662059226</c:v>
                </c:pt>
                <c:pt idx="8">
                  <c:v>18.760585776040575</c:v>
                </c:pt>
                <c:pt idx="9">
                  <c:v>60.293038034687044</c:v>
                </c:pt>
                <c:pt idx="10">
                  <c:v>6.4333912537827782</c:v>
                </c:pt>
              </c:numCache>
            </c:numRef>
          </c:val>
        </c:ser>
        <c:overlap val="100"/>
        <c:axId val="100046336"/>
        <c:axId val="100071680"/>
      </c:barChart>
      <c:catAx>
        <c:axId val="100046336"/>
        <c:scaling>
          <c:orientation val="minMax"/>
        </c:scaling>
        <c:axPos val="b"/>
        <c:tickLblPos val="nextTo"/>
        <c:crossAx val="100071680"/>
        <c:crosses val="autoZero"/>
        <c:auto val="1"/>
        <c:lblAlgn val="ctr"/>
        <c:lblOffset val="100"/>
      </c:catAx>
      <c:valAx>
        <c:axId val="100071680"/>
        <c:scaling>
          <c:orientation val="minMax"/>
        </c:scaling>
        <c:axPos val="l"/>
        <c:majorGridlines/>
        <c:numFmt formatCode="0%" sourceLinked="1"/>
        <c:tickLblPos val="nextTo"/>
        <c:crossAx val="1000463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 (%)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Лист2!$A$1:$A$10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Лист2!$B$1:$B$10</c:f>
              <c:numCache>
                <c:formatCode>#,##0.00\ _₽</c:formatCode>
                <c:ptCount val="10"/>
                <c:pt idx="0">
                  <c:v>28249382.23</c:v>
                </c:pt>
                <c:pt idx="1">
                  <c:v>465371.43000000023</c:v>
                </c:pt>
                <c:pt idx="2">
                  <c:v>124141.33</c:v>
                </c:pt>
                <c:pt idx="3">
                  <c:v>12974711.51</c:v>
                </c:pt>
                <c:pt idx="4">
                  <c:v>9729260.8699999992</c:v>
                </c:pt>
                <c:pt idx="6">
                  <c:v>209619.93</c:v>
                </c:pt>
                <c:pt idx="7">
                  <c:v>12880861.109999992</c:v>
                </c:pt>
                <c:pt idx="8">
                  <c:v>396000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dLbls>
            <c:showPercent val="1"/>
          </c:dLbls>
          <c:cat>
            <c:strRef>
              <c:f>Лист2!$A$1:$A$10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Средства массовой информации</c:v>
                </c:pt>
              </c:strCache>
            </c:strRef>
          </c:cat>
          <c:val>
            <c:numRef>
              <c:f>Лист2!$C$1:$C$10</c:f>
              <c:numCache>
                <c:formatCode>0.00</c:formatCode>
                <c:ptCount val="10"/>
                <c:pt idx="0">
                  <c:v>43.440973838292194</c:v>
                </c:pt>
                <c:pt idx="1">
                  <c:v>0.71563292786805277</c:v>
                </c:pt>
                <c:pt idx="2">
                  <c:v>0.1909004673048669</c:v>
                </c:pt>
                <c:pt idx="3">
                  <c:v>19.952085984617973</c:v>
                </c:pt>
                <c:pt idx="4">
                  <c:v>14.961338392410934</c:v>
                </c:pt>
                <c:pt idx="6">
                  <c:v>0.32234665597197587</c:v>
                </c:pt>
                <c:pt idx="7">
                  <c:v>19.807765916380031</c:v>
                </c:pt>
                <c:pt idx="8">
                  <c:v>0.60895581715394376</c:v>
                </c:pt>
                <c:pt idx="9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0013F-CAC1-427A-9741-2F515595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8</Pages>
  <Words>1391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Бухглатер</dc:creator>
  <cp:lastModifiedBy>127</cp:lastModifiedBy>
  <cp:revision>54</cp:revision>
  <cp:lastPrinted>2017-02-16T10:52:00Z</cp:lastPrinted>
  <dcterms:created xsi:type="dcterms:W3CDTF">2016-02-24T05:11:00Z</dcterms:created>
  <dcterms:modified xsi:type="dcterms:W3CDTF">2021-03-18T06:21:00Z</dcterms:modified>
</cp:coreProperties>
</file>